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2485C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9" w:type="dxa"/>
          </w:tcPr>
          <w:p w14:paraId="21166B84">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742758C7">
            <w:pPr>
              <w:pStyle w:val="18"/>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55.180.99</w:t>
            </w:r>
            <w:r>
              <w:rPr>
                <w:rFonts w:ascii="黑体" w:hAnsi="黑体" w:eastAsia="黑体"/>
                <w:sz w:val="21"/>
                <w:szCs w:val="21"/>
              </w:rPr>
              <w:fldChar w:fldCharType="end"/>
            </w:r>
            <w:bookmarkEnd w:id="0"/>
          </w:p>
        </w:tc>
      </w:tr>
      <w:tr w14:paraId="0C81B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A82A9A6">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7"/>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0CC4E26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PrEx>
              <w:trPr>
                <w:trHeight w:val="1021" w:hRule="exact"/>
              </w:trPr>
              <w:tc>
                <w:tcPr>
                  <w:tcW w:w="9242" w:type="dxa"/>
                  <w:vAlign w:val="center"/>
                </w:tcPr>
                <w:p w14:paraId="41B30B4A">
                  <w:pPr>
                    <w:pStyle w:val="49"/>
                    <w:framePr w:wrap="notBeside" w:vAnchor="page" w:hAnchor="page" w:x="1372" w:y="568"/>
                    <w:ind w:left="420" w:right="624"/>
                    <w:rPr>
                      <w:rFonts w:hint="eastAsia" w:ascii="宋体" w:hAnsi="宋体"/>
                      <w:sz w:val="28"/>
                      <w:szCs w:val="28"/>
                    </w:rPr>
                  </w:pPr>
                  <w:r>
                    <w:rPr>
                      <w:sz w:val="21"/>
                      <w:szCs w:val="21"/>
                    </w:rPr>
                    <w:t xml:space="preserve"> </w:t>
                  </w:r>
                </w:p>
              </w:tc>
            </w:tr>
          </w:tbl>
          <w:p w14:paraId="782DB4E5">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R 40</w:t>
            </w:r>
            <w:r>
              <w:rPr>
                <w:rFonts w:ascii="黑体" w:hAnsi="黑体" w:eastAsia="黑体"/>
                <w:sz w:val="21"/>
                <w:szCs w:val="21"/>
              </w:rPr>
              <w:fldChar w:fldCharType="end"/>
            </w:r>
            <w:bookmarkEnd w:id="1"/>
          </w:p>
        </w:tc>
      </w:tr>
    </w:tbl>
    <w:p w14:paraId="67B9AE32">
      <w:pPr>
        <w:pStyle w:val="50"/>
        <w:framePr w:w="9639" w:h="624" w:hRule="exact" w:hSpace="181" w:vSpace="181" w:wrap="around" w:hAnchor="page" w:x="1305" w:y="2269"/>
        <w:rPr>
          <w:rFonts w:hint="eastAsia" w:ascii="黑体" w:hAnsi="黑体" w:eastAsia="黑体"/>
          <w:b w:val="0"/>
          <w:bCs w:val="0"/>
          <w:w w:val="100"/>
          <w:sz w:val="48"/>
          <w:szCs w:val="48"/>
        </w:rPr>
      </w:pPr>
      <w:bookmarkStart w:id="2"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2"/>
    <w:p w14:paraId="595C93EC">
      <w:pPr>
        <w:pStyle w:val="195"/>
        <w:framePr/>
      </w:pPr>
      <w:r>
        <w:t>T/</w:t>
      </w:r>
      <w:r>
        <w:fldChar w:fldCharType="begin">
          <w:ffData>
            <w:name w:val="文字1"/>
            <w:enabled/>
            <w:calcOnExit w:val="0"/>
            <w:textInput>
              <w:default w:val="XXX"/>
            </w:textInput>
          </w:ffData>
        </w:fldChar>
      </w:r>
      <w:bookmarkStart w:id="3" w:name="文字1"/>
      <w:r>
        <w:instrText xml:space="preserve"> FORMTEXT </w:instrText>
      </w:r>
      <w:r>
        <w:fldChar w:fldCharType="separate"/>
      </w:r>
      <w:r>
        <w:rPr>
          <w:rFonts w:hint="eastAsia"/>
        </w:rPr>
        <w:t>DLAS</w:t>
      </w:r>
      <w:r>
        <w:fldChar w:fldCharType="end"/>
      </w:r>
      <w:bookmarkEnd w:id="3"/>
      <w:r>
        <w:t xml:space="preserve"> </w:t>
      </w:r>
      <w:r>
        <w:fldChar w:fldCharType="begin">
          <w:ffData>
            <w:name w:val="NSTD_CODE_F"/>
            <w:enabled/>
            <w:calcOnExit w:val="0"/>
            <w:textInput>
              <w:default w:val="XXXX"/>
            </w:textInput>
          </w:ffData>
        </w:fldChar>
      </w:r>
      <w:bookmarkStart w:id="4" w:name="NSTD_CODE_F"/>
      <w:r>
        <w:instrText xml:space="preserve"> FORMTEXT </w:instrText>
      </w:r>
      <w:r>
        <w:fldChar w:fldCharType="separate"/>
      </w:r>
      <w:r>
        <w:t>XXXX</w:t>
      </w:r>
      <w:r>
        <w:fldChar w:fldCharType="end"/>
      </w:r>
      <w:bookmarkEnd w:id="4"/>
      <w:r>
        <w:rPr>
          <w:rFonts w:hAnsi="黑体"/>
        </w:rPr>
        <w:t>—</w:t>
      </w:r>
      <w:r>
        <w:fldChar w:fldCharType="begin">
          <w:ffData>
            <w:name w:val="NSTD_CODE_B"/>
            <w:enabled/>
            <w:calcOnExit w:val="0"/>
            <w:textInput>
              <w:default w:val="XXXX"/>
            </w:textInput>
          </w:ffData>
        </w:fldChar>
      </w:r>
      <w:bookmarkStart w:id="5" w:name="NSTD_CODE_B"/>
      <w:r>
        <w:instrText xml:space="preserve"> FORMTEXT </w:instrText>
      </w:r>
      <w:r>
        <w:fldChar w:fldCharType="separate"/>
      </w:r>
      <w:r>
        <w:t>XXXX</w:t>
      </w:r>
      <w:r>
        <w:fldChar w:fldCharType="end"/>
      </w:r>
      <w:bookmarkEnd w:id="5"/>
    </w:p>
    <w:p w14:paraId="4FA3A3D1">
      <w:pPr>
        <w:pStyle w:val="196"/>
        <w:framePr/>
        <w:rPr>
          <w:rFonts w:hint="eastAsia"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6"/>
    </w:p>
    <w:p w14:paraId="53D07605">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7F4C89A2">
      <w:pPr>
        <w:pStyle w:val="50"/>
        <w:framePr w:w="9639" w:h="6976" w:hRule="exact" w:hSpace="0" w:vSpace="0" w:wrap="around" w:hAnchor="page" w:y="6408"/>
        <w:jc w:val="center"/>
        <w:rPr>
          <w:rFonts w:hint="eastAsia" w:ascii="黑体" w:hAnsi="黑体" w:eastAsia="黑体"/>
          <w:b w:val="0"/>
          <w:bCs w:val="0"/>
          <w:w w:val="100"/>
        </w:rPr>
      </w:pPr>
    </w:p>
    <w:p w14:paraId="36491AAA">
      <w:pPr>
        <w:pStyle w:val="197"/>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bookmarkStart w:id="107" w:name="_GoBack"/>
      <w:bookmarkEnd w:id="107"/>
      <w:r>
        <w:rPr>
          <w:rFonts w:hint="eastAsia"/>
        </w:rPr>
        <w:t>温室气体 产品碳足迹量化方法和要求 港口货物装卸服务</w:t>
      </w:r>
      <w:r>
        <w:fldChar w:fldCharType="end"/>
      </w:r>
      <w:bookmarkEnd w:id="7"/>
    </w:p>
    <w:p w14:paraId="2D90CDB1">
      <w:pPr>
        <w:framePr w:w="9639" w:h="6974" w:hRule="exact" w:wrap="around" w:vAnchor="page" w:hAnchor="page" w:x="1419" w:y="6408" w:anchorLock="1"/>
        <w:ind w:left="-1418"/>
      </w:pPr>
    </w:p>
    <w:p w14:paraId="272FC24A">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8" w:name="ESTD_NAME"/>
      <w:r>
        <w:rPr>
          <w:rFonts w:eastAsia="黑体"/>
          <w:szCs w:val="28"/>
        </w:rPr>
        <w:instrText xml:space="preserve"> FORMTEXT </w:instrText>
      </w:r>
      <w:r>
        <w:rPr>
          <w:rFonts w:eastAsia="黑体"/>
          <w:szCs w:val="28"/>
        </w:rPr>
        <w:fldChar w:fldCharType="separate"/>
      </w:r>
      <w:r>
        <w:rPr>
          <w:rFonts w:hint="eastAsia" w:eastAsia="黑体"/>
          <w:szCs w:val="28"/>
        </w:rPr>
        <w:t>Greenhouse gases-Quantification method and requirements for carbon footprint of products-Port cargo handing services</w:t>
      </w:r>
      <w:r>
        <w:rPr>
          <w:rFonts w:eastAsia="黑体"/>
          <w:szCs w:val="28"/>
        </w:rPr>
        <w:fldChar w:fldCharType="end"/>
      </w:r>
      <w:bookmarkEnd w:id="8"/>
    </w:p>
    <w:p w14:paraId="6E3D5331">
      <w:pPr>
        <w:framePr w:w="9639" w:h="6974" w:hRule="exact" w:wrap="around" w:vAnchor="page" w:hAnchor="page" w:x="1419" w:y="6408" w:anchorLock="1"/>
        <w:spacing w:line="760" w:lineRule="exact"/>
        <w:ind w:left="-1418"/>
      </w:pPr>
    </w:p>
    <w:p w14:paraId="41AD757D">
      <w:pPr>
        <w:pStyle w:val="125"/>
        <w:framePr w:w="9639" w:h="6974" w:hRule="exact" w:wrap="around" w:vAnchor="page" w:hAnchor="page" w:x="1419" w:y="6408" w:anchorLock="1"/>
        <w:textAlignment w:val="bottom"/>
        <w:rPr>
          <w:rFonts w:eastAsia="黑体"/>
          <w:szCs w:val="28"/>
        </w:rPr>
      </w:pPr>
    </w:p>
    <w:p w14:paraId="36810B76">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9" w:name="下拉1"/>
      <w:r>
        <w:rPr>
          <w:sz w:val="24"/>
          <w:szCs w:val="28"/>
        </w:rPr>
        <w:instrText xml:space="preserve"> FORMDROPDOWN </w:instrText>
      </w:r>
      <w:r>
        <w:rPr>
          <w:sz w:val="24"/>
          <w:szCs w:val="28"/>
        </w:rPr>
        <w:fldChar w:fldCharType="separate"/>
      </w:r>
      <w:r>
        <w:rPr>
          <w:sz w:val="24"/>
          <w:szCs w:val="28"/>
        </w:rPr>
        <w:fldChar w:fldCharType="end"/>
      </w:r>
      <w:bookmarkEnd w:id="9"/>
    </w:p>
    <w:p w14:paraId="0FA1798C">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0"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0"/>
    </w:p>
    <w:p w14:paraId="40C0B4DE">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1" w:name="下拉2"/>
      <w:r>
        <w:rPr>
          <w:b/>
          <w:sz w:val="21"/>
          <w:szCs w:val="28"/>
        </w:rPr>
        <w:instrText xml:space="preserve"> FORMDROPDOWN </w:instrText>
      </w:r>
      <w:r>
        <w:rPr>
          <w:b/>
          <w:sz w:val="21"/>
          <w:szCs w:val="28"/>
        </w:rPr>
        <w:fldChar w:fldCharType="separate"/>
      </w:r>
      <w:r>
        <w:rPr>
          <w:b/>
          <w:sz w:val="21"/>
          <w:szCs w:val="28"/>
        </w:rPr>
        <w:fldChar w:fldCharType="end"/>
      </w:r>
      <w:bookmarkEnd w:id="11"/>
    </w:p>
    <w:p w14:paraId="3BE78DA7">
      <w:pPr>
        <w:pStyle w:val="193"/>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rPr>
          <w:rFonts w:hint="eastAsia"/>
        </w:rPr>
        <w:t>发布</w:t>
      </w:r>
    </w:p>
    <w:p w14:paraId="3D3213D0">
      <w:pPr>
        <w:pStyle w:val="194"/>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rPr>
          <w:rFonts w:hint="eastAsia"/>
        </w:rPr>
        <w:t>实施</w:t>
      </w:r>
    </w:p>
    <w:p w14:paraId="452EEBBA">
      <w:pPr>
        <w:pStyle w:val="151"/>
        <w:framePr w:h="584" w:hRule="exact" w:hSpace="181" w:vSpace="181" w:wrap="around" w:y="14800"/>
        <w:rPr>
          <w:rFonts w:hint="eastAsia" w:hAnsi="黑体"/>
        </w:rPr>
      </w:pPr>
      <w:r>
        <w:rPr>
          <w:rFonts w:hAnsi="黑体"/>
          <w:w w:val="100"/>
          <w:sz w:val="28"/>
        </w:rPr>
        <w:fldChar w:fldCharType="begin">
          <w:ffData>
            <w:name w:val="fm"/>
            <w:enabled/>
            <w:calcOnExit w:val="0"/>
            <w:textInput/>
          </w:ffData>
        </w:fldChar>
      </w:r>
      <w:bookmarkStart w:id="18" w:name="fm"/>
      <w:r>
        <w:rPr>
          <w:rFonts w:hAnsi="黑体"/>
          <w:w w:val="100"/>
          <w:sz w:val="28"/>
        </w:rPr>
        <w:instrText xml:space="preserve"> FORMTEXT </w:instrText>
      </w:r>
      <w:r>
        <w:rPr>
          <w:rFonts w:hAnsi="黑体"/>
          <w:w w:val="100"/>
          <w:sz w:val="28"/>
        </w:rPr>
        <w:fldChar w:fldCharType="separate"/>
      </w:r>
      <w:r>
        <w:rPr>
          <w:rFonts w:hint="eastAsia" w:hAnsi="黑体"/>
          <w:w w:val="100"/>
          <w:sz w:val="28"/>
        </w:rPr>
        <w:t>大连市标准化协会</w:t>
      </w:r>
      <w:r>
        <w:rPr>
          <w:rFonts w:hAnsi="黑体"/>
          <w:w w:val="100"/>
          <w:sz w:val="28"/>
        </w:rPr>
        <w:fldChar w:fldCharType="end"/>
      </w:r>
      <w:bookmarkEnd w:id="18"/>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34161E41">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1BC04920">
      <w:pPr>
        <w:pStyle w:val="91"/>
        <w:spacing w:after="360"/>
      </w:pPr>
      <w:bookmarkStart w:id="19" w:name="BookMark1"/>
      <w:bookmarkStart w:id="20" w:name="_Toc231207624"/>
      <w:r>
        <w:rPr>
          <w:rFonts w:hint="eastAsia"/>
          <w:spacing w:val="320"/>
        </w:rPr>
        <w:t>目</w:t>
      </w:r>
      <w:r>
        <w:rPr>
          <w:rFonts w:hint="eastAsia"/>
        </w:rPr>
        <w:t>次</w:t>
      </w:r>
    </w:p>
    <w:p w14:paraId="6B2F2A80">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"_Toc231215096" </w:instrText>
      </w:r>
      <w:r>
        <w:fldChar w:fldCharType="separate"/>
      </w:r>
      <w:r>
        <w:rPr>
          <w:rStyle w:val="32"/>
          <w:rFonts w:hint="eastAsia"/>
        </w:rPr>
        <w:t>前言</w:t>
      </w:r>
      <w:r>
        <w:rPr>
          <w:rFonts w:hint="eastAsia"/>
        </w:rPr>
        <w:tab/>
      </w:r>
      <w:r>
        <w:rPr>
          <w:rFonts w:hint="eastAsia"/>
        </w:rPr>
        <w:fldChar w:fldCharType="begin"/>
      </w:r>
      <w:r>
        <w:rPr>
          <w:rFonts w:hint="eastAsia"/>
        </w:rPr>
        <w:instrText xml:space="preserve"> </w:instrText>
      </w:r>
      <w:r>
        <w:instrText xml:space="preserve">PAGEREF _Toc231215096 \h</w:instrText>
      </w:r>
      <w:r>
        <w:rPr>
          <w:rFonts w:hint="eastAsia"/>
        </w:rPr>
        <w:instrText xml:space="preserve"> </w:instrText>
      </w:r>
      <w:r>
        <w:rPr>
          <w:rFonts w:hint="eastAsia"/>
        </w:rPr>
        <w:fldChar w:fldCharType="separate"/>
      </w:r>
      <w:r>
        <w:t>II</w:t>
      </w:r>
      <w:r>
        <w:rPr>
          <w:rFonts w:hint="eastAsia"/>
        </w:rPr>
        <w:fldChar w:fldCharType="end"/>
      </w:r>
      <w:r>
        <w:rPr>
          <w:rFonts w:hint="eastAsia"/>
        </w:rPr>
        <w:fldChar w:fldCharType="end"/>
      </w:r>
    </w:p>
    <w:p w14:paraId="0B7E7008">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"_Toc231215097" </w:instrText>
      </w:r>
      <w:r>
        <w:fldChar w:fldCharType="separate"/>
      </w:r>
      <w:r>
        <w:rPr>
          <w:rStyle w:val="32"/>
          <w:rFonts w:hint="eastAsia"/>
        </w:rPr>
        <w:t>1</w:t>
      </w:r>
      <w:r>
        <w:rPr>
          <w:rStyle w:val="32"/>
        </w:rPr>
        <w:t xml:space="preserve"> </w:t>
      </w:r>
      <w:r>
        <w:rPr>
          <w:rStyle w:val="32"/>
          <w:rFonts w:hint="eastAsia"/>
        </w:rPr>
        <w:t xml:space="preserve"> 范围</w:t>
      </w:r>
      <w:r>
        <w:rPr>
          <w:rFonts w:hint="eastAsia"/>
        </w:rPr>
        <w:tab/>
      </w:r>
      <w:r>
        <w:rPr>
          <w:rFonts w:hint="eastAsia"/>
        </w:rPr>
        <w:fldChar w:fldCharType="begin"/>
      </w:r>
      <w:r>
        <w:rPr>
          <w:rFonts w:hint="eastAsia"/>
        </w:rPr>
        <w:instrText xml:space="preserve"> </w:instrText>
      </w:r>
      <w:r>
        <w:instrText xml:space="preserve">PAGEREF _Toc231215097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0C9C9C61">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"_Toc231215098" </w:instrText>
      </w:r>
      <w:r>
        <w:fldChar w:fldCharType="separate"/>
      </w:r>
      <w:r>
        <w:rPr>
          <w:rStyle w:val="32"/>
          <w:rFonts w:hint="eastAsia"/>
        </w:rPr>
        <w:t>2</w:t>
      </w:r>
      <w:r>
        <w:rPr>
          <w:rStyle w:val="32"/>
        </w:rPr>
        <w:t xml:space="preserve"> </w:t>
      </w:r>
      <w:r>
        <w:rPr>
          <w:rStyle w:val="32"/>
          <w:rFonts w:hint="eastAsia"/>
        </w:rPr>
        <w:t xml:space="preserve"> 规范性引用文件</w:t>
      </w:r>
      <w:r>
        <w:rPr>
          <w:rFonts w:hint="eastAsia"/>
        </w:rPr>
        <w:tab/>
      </w:r>
      <w:r>
        <w:rPr>
          <w:rFonts w:hint="eastAsia"/>
        </w:rPr>
        <w:fldChar w:fldCharType="begin"/>
      </w:r>
      <w:r>
        <w:rPr>
          <w:rFonts w:hint="eastAsia"/>
        </w:rPr>
        <w:instrText xml:space="preserve"> </w:instrText>
      </w:r>
      <w:r>
        <w:instrText xml:space="preserve">PAGEREF _Toc231215098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6F27F4ED">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"_Toc231215099" </w:instrText>
      </w:r>
      <w:r>
        <w:fldChar w:fldCharType="separate"/>
      </w:r>
      <w:r>
        <w:rPr>
          <w:rStyle w:val="32"/>
          <w:rFonts w:hint="eastAsia"/>
        </w:rPr>
        <w:t>3</w:t>
      </w:r>
      <w:r>
        <w:rPr>
          <w:rStyle w:val="32"/>
        </w:rPr>
        <w:t xml:space="preserve"> </w:t>
      </w:r>
      <w:r>
        <w:rPr>
          <w:rStyle w:val="32"/>
          <w:rFonts w:hint="eastAsia"/>
        </w:rPr>
        <w:t xml:space="preserve"> 术语和定义</w:t>
      </w:r>
      <w:r>
        <w:rPr>
          <w:rFonts w:hint="eastAsia"/>
        </w:rPr>
        <w:tab/>
      </w:r>
      <w:r>
        <w:rPr>
          <w:rFonts w:hint="eastAsia"/>
        </w:rPr>
        <w:fldChar w:fldCharType="begin"/>
      </w:r>
      <w:r>
        <w:rPr>
          <w:rFonts w:hint="eastAsia"/>
        </w:rPr>
        <w:instrText xml:space="preserve"> </w:instrText>
      </w:r>
      <w:r>
        <w:instrText xml:space="preserve">PAGEREF _Toc231215099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6AEC1112">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"_Toc231215100" </w:instrText>
      </w:r>
      <w:r>
        <w:fldChar w:fldCharType="separate"/>
      </w:r>
      <w:r>
        <w:rPr>
          <w:rStyle w:val="32"/>
          <w:rFonts w:hint="eastAsia"/>
        </w:rPr>
        <w:t>4</w:t>
      </w:r>
      <w:r>
        <w:rPr>
          <w:rStyle w:val="32"/>
        </w:rPr>
        <w:t xml:space="preserve"> </w:t>
      </w:r>
      <w:r>
        <w:rPr>
          <w:rStyle w:val="32"/>
          <w:rFonts w:hint="eastAsia"/>
        </w:rPr>
        <w:t xml:space="preserve"> 量化目的</w:t>
      </w:r>
      <w:r>
        <w:rPr>
          <w:rFonts w:hint="eastAsia"/>
        </w:rPr>
        <w:tab/>
      </w:r>
      <w:r>
        <w:rPr>
          <w:rFonts w:hint="eastAsia"/>
        </w:rPr>
        <w:fldChar w:fldCharType="begin"/>
      </w:r>
      <w:r>
        <w:rPr>
          <w:rFonts w:hint="eastAsia"/>
        </w:rPr>
        <w:instrText xml:space="preserve"> </w:instrText>
      </w:r>
      <w:r>
        <w:instrText xml:space="preserve">PAGEREF _Toc231215100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7D57CBCF">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"_Toc231215101" </w:instrText>
      </w:r>
      <w:r>
        <w:fldChar w:fldCharType="separate"/>
      </w:r>
      <w:r>
        <w:rPr>
          <w:rStyle w:val="32"/>
          <w:rFonts w:hint="eastAsia"/>
        </w:rPr>
        <w:t>5</w:t>
      </w:r>
      <w:r>
        <w:rPr>
          <w:rStyle w:val="32"/>
        </w:rPr>
        <w:t xml:space="preserve"> </w:t>
      </w:r>
      <w:r>
        <w:rPr>
          <w:rStyle w:val="32"/>
          <w:rFonts w:hint="eastAsia"/>
        </w:rPr>
        <w:t xml:space="preserve"> 量化范围</w:t>
      </w:r>
      <w:r>
        <w:rPr>
          <w:rFonts w:hint="eastAsia"/>
        </w:rPr>
        <w:tab/>
      </w:r>
      <w:r>
        <w:rPr>
          <w:rFonts w:hint="eastAsia"/>
        </w:rPr>
        <w:fldChar w:fldCharType="begin"/>
      </w:r>
      <w:r>
        <w:rPr>
          <w:rFonts w:hint="eastAsia"/>
        </w:rPr>
        <w:instrText xml:space="preserve"> </w:instrText>
      </w:r>
      <w:r>
        <w:instrText xml:space="preserve">PAGEREF _Toc231215101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2C32B02C">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"_Toc231215102" </w:instrText>
      </w:r>
      <w:r>
        <w:fldChar w:fldCharType="separate"/>
      </w:r>
      <w:r>
        <w:rPr>
          <w:rStyle w:val="32"/>
          <w:rFonts w:hint="eastAsia"/>
          <w14:scene3d w14:prst="orthographicFront">
            <w14:lightRig w14:rig="threePt" w14:dir="t">
              <w14:rot w14:lat="0" w14:lon="0" w14:rev="0"/>
            </w14:lightRig>
          </w14:scene3d>
        </w:rPr>
        <w:t>5.1</w:t>
      </w:r>
      <w:r>
        <w:rPr>
          <w:rStyle w:val="32"/>
          <w14:scene3d w14:prst="orthographicFront">
            <w14:lightRig w14:rig="threePt" w14:dir="t">
              <w14:rot w14:lat="0" w14:lon="0" w14:rev="0"/>
            </w14:lightRig>
          </w14:scene3d>
        </w:rPr>
        <w:t xml:space="preserve"> </w:t>
      </w:r>
      <w:r>
        <w:rPr>
          <w:rStyle w:val="32"/>
          <w:rFonts w:hint="eastAsia"/>
        </w:rPr>
        <w:t xml:space="preserve"> 功能单位</w:t>
      </w:r>
      <w:r>
        <w:rPr>
          <w:rFonts w:hint="eastAsia"/>
        </w:rPr>
        <w:tab/>
      </w:r>
      <w:r>
        <w:rPr>
          <w:rFonts w:hint="eastAsia"/>
        </w:rPr>
        <w:fldChar w:fldCharType="begin"/>
      </w:r>
      <w:r>
        <w:rPr>
          <w:rFonts w:hint="eastAsia"/>
        </w:rPr>
        <w:instrText xml:space="preserve"> </w:instrText>
      </w:r>
      <w:r>
        <w:instrText xml:space="preserve">PAGEREF _Toc231215102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2F9D5816">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"_Toc231215103" </w:instrText>
      </w:r>
      <w:r>
        <w:fldChar w:fldCharType="separate"/>
      </w:r>
      <w:r>
        <w:rPr>
          <w:rStyle w:val="32"/>
          <w:rFonts w:hint="eastAsia"/>
          <w14:scene3d w14:prst="orthographicFront">
            <w14:lightRig w14:rig="threePt" w14:dir="t">
              <w14:rot w14:lat="0" w14:lon="0" w14:rev="0"/>
            </w14:lightRig>
          </w14:scene3d>
        </w:rPr>
        <w:t>5.2</w:t>
      </w:r>
      <w:r>
        <w:rPr>
          <w:rStyle w:val="32"/>
          <w14:scene3d w14:prst="orthographicFront">
            <w14:lightRig w14:rig="threePt" w14:dir="t">
              <w14:rot w14:lat="0" w14:lon="0" w14:rev="0"/>
            </w14:lightRig>
          </w14:scene3d>
        </w:rPr>
        <w:t xml:space="preserve"> </w:t>
      </w:r>
      <w:r>
        <w:rPr>
          <w:rStyle w:val="32"/>
          <w:rFonts w:hint="eastAsia"/>
        </w:rPr>
        <w:t xml:space="preserve"> 系统边界</w:t>
      </w:r>
      <w:r>
        <w:rPr>
          <w:rFonts w:hint="eastAsia"/>
        </w:rPr>
        <w:tab/>
      </w:r>
      <w:r>
        <w:rPr>
          <w:rFonts w:hint="eastAsia"/>
        </w:rPr>
        <w:fldChar w:fldCharType="begin"/>
      </w:r>
      <w:r>
        <w:rPr>
          <w:rFonts w:hint="eastAsia"/>
        </w:rPr>
        <w:instrText xml:space="preserve"> </w:instrText>
      </w:r>
      <w:r>
        <w:instrText xml:space="preserve">PAGEREF _Toc231215103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4248FE23">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"_Toc231215104" </w:instrText>
      </w:r>
      <w:r>
        <w:fldChar w:fldCharType="separate"/>
      </w:r>
      <w:r>
        <w:rPr>
          <w:rStyle w:val="32"/>
          <w:rFonts w:hint="eastAsia"/>
          <w14:scene3d w14:prst="orthographicFront">
            <w14:lightRig w14:rig="threePt" w14:dir="t">
              <w14:rot w14:lat="0" w14:lon="0" w14:rev="0"/>
            </w14:lightRig>
          </w14:scene3d>
        </w:rPr>
        <w:t>5.3</w:t>
      </w:r>
      <w:r>
        <w:rPr>
          <w:rStyle w:val="32"/>
          <w14:scene3d w14:prst="orthographicFront">
            <w14:lightRig w14:rig="threePt" w14:dir="t">
              <w14:rot w14:lat="0" w14:lon="0" w14:rev="0"/>
            </w14:lightRig>
          </w14:scene3d>
        </w:rPr>
        <w:t xml:space="preserve"> </w:t>
      </w:r>
      <w:r>
        <w:rPr>
          <w:rStyle w:val="32"/>
          <w:rFonts w:hint="eastAsia"/>
        </w:rPr>
        <w:t xml:space="preserve"> 系统边界设置</w:t>
      </w:r>
      <w:r>
        <w:rPr>
          <w:rFonts w:hint="eastAsia"/>
        </w:rPr>
        <w:tab/>
      </w:r>
      <w:r>
        <w:rPr>
          <w:rFonts w:hint="eastAsia"/>
        </w:rPr>
        <w:fldChar w:fldCharType="begin"/>
      </w:r>
      <w:r>
        <w:rPr>
          <w:rFonts w:hint="eastAsia"/>
        </w:rPr>
        <w:instrText xml:space="preserve"> </w:instrText>
      </w:r>
      <w:r>
        <w:instrText xml:space="preserve">PAGEREF _Toc231215104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054A5CC2">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"_Toc231215105" </w:instrText>
      </w:r>
      <w:r>
        <w:fldChar w:fldCharType="separate"/>
      </w:r>
      <w:r>
        <w:rPr>
          <w:rStyle w:val="32"/>
          <w:rFonts w:hint="eastAsia"/>
          <w14:scene3d w14:prst="orthographicFront">
            <w14:lightRig w14:rig="threePt" w14:dir="t">
              <w14:rot w14:lat="0" w14:lon="0" w14:rev="0"/>
            </w14:lightRig>
          </w14:scene3d>
        </w:rPr>
        <w:t>5.4</w:t>
      </w:r>
      <w:r>
        <w:rPr>
          <w:rStyle w:val="32"/>
          <w14:scene3d w14:prst="orthographicFront">
            <w14:lightRig w14:rig="threePt" w14:dir="t">
              <w14:rot w14:lat="0" w14:lon="0" w14:rev="0"/>
            </w14:lightRig>
          </w14:scene3d>
        </w:rPr>
        <w:t xml:space="preserve"> </w:t>
      </w:r>
      <w:r>
        <w:rPr>
          <w:rStyle w:val="32"/>
          <w:rFonts w:hint="eastAsia"/>
        </w:rPr>
        <w:t xml:space="preserve"> 时间边界</w:t>
      </w:r>
      <w:r>
        <w:rPr>
          <w:rFonts w:hint="eastAsia"/>
        </w:rPr>
        <w:tab/>
      </w:r>
      <w:r>
        <w:rPr>
          <w:rFonts w:hint="eastAsia"/>
        </w:rPr>
        <w:fldChar w:fldCharType="begin"/>
      </w:r>
      <w:r>
        <w:rPr>
          <w:rFonts w:hint="eastAsia"/>
        </w:rPr>
        <w:instrText xml:space="preserve"> </w:instrText>
      </w:r>
      <w:r>
        <w:instrText xml:space="preserve">PAGEREF _Toc231215105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10D5425D">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"_Toc231215106" </w:instrText>
      </w:r>
      <w:r>
        <w:fldChar w:fldCharType="separate"/>
      </w:r>
      <w:r>
        <w:rPr>
          <w:rStyle w:val="32"/>
          <w:rFonts w:hint="eastAsia"/>
          <w14:scene3d w14:prst="orthographicFront">
            <w14:lightRig w14:rig="threePt" w14:dir="t">
              <w14:rot w14:lat="0" w14:lon="0" w14:rev="0"/>
            </w14:lightRig>
          </w14:scene3d>
        </w:rPr>
        <w:t>5.5</w:t>
      </w:r>
      <w:r>
        <w:rPr>
          <w:rStyle w:val="32"/>
          <w14:scene3d w14:prst="orthographicFront">
            <w14:lightRig w14:rig="threePt" w14:dir="t">
              <w14:rot w14:lat="0" w14:lon="0" w14:rev="0"/>
            </w14:lightRig>
          </w14:scene3d>
        </w:rPr>
        <w:t xml:space="preserve"> </w:t>
      </w:r>
      <w:r>
        <w:rPr>
          <w:rStyle w:val="32"/>
          <w:rFonts w:hint="eastAsia"/>
        </w:rPr>
        <w:t xml:space="preserve"> 取舍原则</w:t>
      </w:r>
      <w:r>
        <w:rPr>
          <w:rFonts w:hint="eastAsia"/>
        </w:rPr>
        <w:tab/>
      </w:r>
      <w:r>
        <w:rPr>
          <w:rFonts w:hint="eastAsia"/>
        </w:rPr>
        <w:fldChar w:fldCharType="begin"/>
      </w:r>
      <w:r>
        <w:rPr>
          <w:rFonts w:hint="eastAsia"/>
        </w:rPr>
        <w:instrText xml:space="preserve"> </w:instrText>
      </w:r>
      <w:r>
        <w:instrText xml:space="preserve">PAGEREF _Toc231215106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605FB2FD">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"_Toc231215107" </w:instrText>
      </w:r>
      <w:r>
        <w:fldChar w:fldCharType="separate"/>
      </w:r>
      <w:r>
        <w:rPr>
          <w:rStyle w:val="32"/>
          <w:rFonts w:hint="eastAsia"/>
        </w:rPr>
        <w:t>6</w:t>
      </w:r>
      <w:r>
        <w:rPr>
          <w:rStyle w:val="32"/>
        </w:rPr>
        <w:t xml:space="preserve"> </w:t>
      </w:r>
      <w:r>
        <w:rPr>
          <w:rStyle w:val="32"/>
          <w:rFonts w:hint="eastAsia"/>
        </w:rPr>
        <w:t xml:space="preserve"> 清单分析</w:t>
      </w:r>
      <w:r>
        <w:rPr>
          <w:rFonts w:hint="eastAsia"/>
        </w:rPr>
        <w:tab/>
      </w:r>
      <w:r>
        <w:rPr>
          <w:rFonts w:hint="eastAsia"/>
        </w:rPr>
        <w:fldChar w:fldCharType="begin"/>
      </w:r>
      <w:r>
        <w:rPr>
          <w:rFonts w:hint="eastAsia"/>
        </w:rPr>
        <w:instrText xml:space="preserve"> </w:instrText>
      </w:r>
      <w:r>
        <w:instrText xml:space="preserve">PAGEREF _Toc231215107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52627F82">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"_Toc231215108" </w:instrText>
      </w:r>
      <w:r>
        <w:fldChar w:fldCharType="separate"/>
      </w:r>
      <w:r>
        <w:rPr>
          <w:rStyle w:val="32"/>
          <w:rFonts w:hint="eastAsia"/>
          <w14:scene3d w14:prst="orthographicFront">
            <w14:lightRig w14:rig="threePt" w14:dir="t">
              <w14:rot w14:lat="0" w14:lon="0" w14:rev="0"/>
            </w14:lightRig>
          </w14:scene3d>
        </w:rPr>
        <w:t>6.1</w:t>
      </w:r>
      <w:r>
        <w:rPr>
          <w:rStyle w:val="32"/>
          <w14:scene3d w14:prst="orthographicFront">
            <w14:lightRig w14:rig="threePt" w14:dir="t">
              <w14:rot w14:lat="0" w14:lon="0" w14:rev="0"/>
            </w14:lightRig>
          </w14:scene3d>
        </w:rPr>
        <w:t xml:space="preserve"> </w:t>
      </w:r>
      <w:r>
        <w:rPr>
          <w:rStyle w:val="32"/>
          <w:rFonts w:hint="eastAsia"/>
        </w:rPr>
        <w:t xml:space="preserve"> 数据选择</w:t>
      </w:r>
      <w:r>
        <w:rPr>
          <w:rFonts w:hint="eastAsia"/>
        </w:rPr>
        <w:tab/>
      </w:r>
      <w:r>
        <w:rPr>
          <w:rFonts w:hint="eastAsia"/>
        </w:rPr>
        <w:fldChar w:fldCharType="begin"/>
      </w:r>
      <w:r>
        <w:rPr>
          <w:rFonts w:hint="eastAsia"/>
        </w:rPr>
        <w:instrText xml:space="preserve"> </w:instrText>
      </w:r>
      <w:r>
        <w:instrText xml:space="preserve">PAGEREF _Toc231215108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27C271C6">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"_Toc231215109" </w:instrText>
      </w:r>
      <w:r>
        <w:fldChar w:fldCharType="separate"/>
      </w:r>
      <w:r>
        <w:rPr>
          <w:rStyle w:val="32"/>
          <w:rFonts w:hint="eastAsia"/>
          <w14:scene3d w14:prst="orthographicFront">
            <w14:lightRig w14:rig="threePt" w14:dir="t">
              <w14:rot w14:lat="0" w14:lon="0" w14:rev="0"/>
            </w14:lightRig>
          </w14:scene3d>
        </w:rPr>
        <w:t>6.2</w:t>
      </w:r>
      <w:r>
        <w:rPr>
          <w:rStyle w:val="32"/>
          <w14:scene3d w14:prst="orthographicFront">
            <w14:lightRig w14:rig="threePt" w14:dir="t">
              <w14:rot w14:lat="0" w14:lon="0" w14:rev="0"/>
            </w14:lightRig>
          </w14:scene3d>
        </w:rPr>
        <w:t xml:space="preserve"> </w:t>
      </w:r>
      <w:r>
        <w:rPr>
          <w:rStyle w:val="32"/>
          <w:rFonts w:hint="eastAsia"/>
        </w:rPr>
        <w:t xml:space="preserve"> 数据收集</w:t>
      </w:r>
      <w:r>
        <w:rPr>
          <w:rFonts w:hint="eastAsia"/>
        </w:rPr>
        <w:tab/>
      </w:r>
      <w:r>
        <w:rPr>
          <w:rFonts w:hint="eastAsia"/>
        </w:rPr>
        <w:fldChar w:fldCharType="begin"/>
      </w:r>
      <w:r>
        <w:rPr>
          <w:rFonts w:hint="eastAsia"/>
        </w:rPr>
        <w:instrText xml:space="preserve"> </w:instrText>
      </w:r>
      <w:r>
        <w:instrText xml:space="preserve">PAGEREF _Toc231215109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699380B5">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"_Toc231215110" </w:instrText>
      </w:r>
      <w:r>
        <w:fldChar w:fldCharType="separate"/>
      </w:r>
      <w:r>
        <w:rPr>
          <w:rStyle w:val="32"/>
          <w:rFonts w:hint="eastAsia"/>
          <w14:scene3d w14:prst="orthographicFront">
            <w14:lightRig w14:rig="threePt" w14:dir="t">
              <w14:rot w14:lat="0" w14:lon="0" w14:rev="0"/>
            </w14:lightRig>
          </w14:scene3d>
        </w:rPr>
        <w:t>6.3</w:t>
      </w:r>
      <w:r>
        <w:rPr>
          <w:rStyle w:val="32"/>
          <w14:scene3d w14:prst="orthographicFront">
            <w14:lightRig w14:rig="threePt" w14:dir="t">
              <w14:rot w14:lat="0" w14:lon="0" w14:rev="0"/>
            </w14:lightRig>
          </w14:scene3d>
        </w:rPr>
        <w:t xml:space="preserve"> </w:t>
      </w:r>
      <w:r>
        <w:rPr>
          <w:rStyle w:val="32"/>
          <w:rFonts w:hint="eastAsia"/>
        </w:rPr>
        <w:t xml:space="preserve"> 数据分配</w:t>
      </w:r>
      <w:r>
        <w:rPr>
          <w:rFonts w:hint="eastAsia"/>
        </w:rPr>
        <w:tab/>
      </w:r>
      <w:r>
        <w:rPr>
          <w:rFonts w:hint="eastAsia"/>
        </w:rPr>
        <w:fldChar w:fldCharType="begin"/>
      </w:r>
      <w:r>
        <w:rPr>
          <w:rFonts w:hint="eastAsia"/>
        </w:rPr>
        <w:instrText xml:space="preserve"> </w:instrText>
      </w:r>
      <w:r>
        <w:instrText xml:space="preserve">PAGEREF _Toc231215110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5ABDA068">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"_Toc231215111" </w:instrText>
      </w:r>
      <w:r>
        <w:fldChar w:fldCharType="separate"/>
      </w:r>
      <w:r>
        <w:rPr>
          <w:rStyle w:val="32"/>
          <w:rFonts w:hint="eastAsia"/>
          <w14:scene3d w14:prst="orthographicFront">
            <w14:lightRig w14:rig="threePt" w14:dir="t">
              <w14:rot w14:lat="0" w14:lon="0" w14:rev="0"/>
            </w14:lightRig>
          </w14:scene3d>
        </w:rPr>
        <w:t>6.4</w:t>
      </w:r>
      <w:r>
        <w:rPr>
          <w:rStyle w:val="32"/>
          <w14:scene3d w14:prst="orthographicFront">
            <w14:lightRig w14:rig="threePt" w14:dir="t">
              <w14:rot w14:lat="0" w14:lon="0" w14:rev="0"/>
            </w14:lightRig>
          </w14:scene3d>
        </w:rPr>
        <w:t xml:space="preserve"> </w:t>
      </w:r>
      <w:r>
        <w:rPr>
          <w:rStyle w:val="32"/>
          <w:rFonts w:hint="eastAsia"/>
        </w:rPr>
        <w:t xml:space="preserve"> 数据质量评价</w:t>
      </w:r>
      <w:r>
        <w:rPr>
          <w:rFonts w:hint="eastAsia"/>
        </w:rPr>
        <w:tab/>
      </w:r>
      <w:r>
        <w:rPr>
          <w:rFonts w:hint="eastAsia"/>
        </w:rPr>
        <w:fldChar w:fldCharType="begin"/>
      </w:r>
      <w:r>
        <w:rPr>
          <w:rFonts w:hint="eastAsia"/>
        </w:rPr>
        <w:instrText xml:space="preserve"> </w:instrText>
      </w:r>
      <w:r>
        <w:instrText xml:space="preserve">PAGEREF _Toc231215111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37BF8AE7">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"_Toc231215112" </w:instrText>
      </w:r>
      <w:r>
        <w:fldChar w:fldCharType="separate"/>
      </w:r>
      <w:r>
        <w:rPr>
          <w:rStyle w:val="32"/>
          <w:rFonts w:hint="eastAsia"/>
        </w:rPr>
        <w:t>7</w:t>
      </w:r>
      <w:r>
        <w:rPr>
          <w:rStyle w:val="32"/>
        </w:rPr>
        <w:t xml:space="preserve"> </w:t>
      </w:r>
      <w:r>
        <w:rPr>
          <w:rStyle w:val="32"/>
          <w:rFonts w:hint="eastAsia"/>
        </w:rPr>
        <w:t xml:space="preserve"> 影响评价</w:t>
      </w:r>
      <w:r>
        <w:rPr>
          <w:rFonts w:hint="eastAsia"/>
        </w:rPr>
        <w:tab/>
      </w:r>
      <w:r>
        <w:rPr>
          <w:rFonts w:hint="eastAsia"/>
        </w:rPr>
        <w:fldChar w:fldCharType="begin"/>
      </w:r>
      <w:r>
        <w:rPr>
          <w:rFonts w:hint="eastAsia"/>
        </w:rPr>
        <w:instrText xml:space="preserve"> </w:instrText>
      </w:r>
      <w:r>
        <w:instrText xml:space="preserve">PAGEREF _Toc231215112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4A408095">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"_Toc231215113" </w:instrText>
      </w:r>
      <w:r>
        <w:fldChar w:fldCharType="separate"/>
      </w:r>
      <w:r>
        <w:rPr>
          <w:rStyle w:val="32"/>
          <w:rFonts w:hint="eastAsia"/>
          <w14:scene3d w14:prst="orthographicFront">
            <w14:lightRig w14:rig="threePt" w14:dir="t">
              <w14:rot w14:lat="0" w14:lon="0" w14:rev="0"/>
            </w14:lightRig>
          </w14:scene3d>
        </w:rPr>
        <w:t>7.1</w:t>
      </w:r>
      <w:r>
        <w:rPr>
          <w:rStyle w:val="32"/>
          <w14:scene3d w14:prst="orthographicFront">
            <w14:lightRig w14:rig="threePt" w14:dir="t">
              <w14:rot w14:lat="0" w14:lon="0" w14:rev="0"/>
            </w14:lightRig>
          </w14:scene3d>
        </w:rPr>
        <w:t xml:space="preserve"> </w:t>
      </w:r>
      <w:r>
        <w:rPr>
          <w:rStyle w:val="32"/>
          <w:rFonts w:hint="eastAsia"/>
        </w:rPr>
        <w:t xml:space="preserve"> 港口货物（集装箱/杂货/滚装货物）装卸服务碳足迹计算</w:t>
      </w:r>
      <w:r>
        <w:rPr>
          <w:rFonts w:hint="eastAsia"/>
        </w:rPr>
        <w:tab/>
      </w:r>
      <w:r>
        <w:rPr>
          <w:rFonts w:hint="eastAsia"/>
        </w:rPr>
        <w:fldChar w:fldCharType="begin"/>
      </w:r>
      <w:r>
        <w:rPr>
          <w:rFonts w:hint="eastAsia"/>
        </w:rPr>
        <w:instrText xml:space="preserve"> </w:instrText>
      </w:r>
      <w:r>
        <w:instrText xml:space="preserve">PAGEREF _Toc231215113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2791A49B">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"_Toc231215114" </w:instrText>
      </w:r>
      <w:r>
        <w:fldChar w:fldCharType="separate"/>
      </w:r>
      <w:r>
        <w:rPr>
          <w:rStyle w:val="32"/>
          <w:rFonts w:hint="eastAsia"/>
          <w14:scene3d w14:prst="orthographicFront">
            <w14:lightRig w14:rig="threePt" w14:dir="t">
              <w14:rot w14:lat="0" w14:lon="0" w14:rev="0"/>
            </w14:lightRig>
          </w14:scene3d>
        </w:rPr>
        <w:t>7.2</w:t>
      </w:r>
      <w:r>
        <w:rPr>
          <w:rStyle w:val="32"/>
          <w14:scene3d w14:prst="orthographicFront">
            <w14:lightRig w14:rig="threePt" w14:dir="t">
              <w14:rot w14:lat="0" w14:lon="0" w14:rev="0"/>
            </w14:lightRig>
          </w14:scene3d>
        </w:rPr>
        <w:t xml:space="preserve"> </w:t>
      </w:r>
      <w:r>
        <w:rPr>
          <w:rStyle w:val="32"/>
          <w:rFonts w:hint="eastAsia"/>
        </w:rPr>
        <w:t xml:space="preserve"> 原材料获取阶段的温室气体排放</w:t>
      </w:r>
      <w:r>
        <w:rPr>
          <w:rFonts w:hint="eastAsia"/>
        </w:rPr>
        <w:tab/>
      </w:r>
      <w:r>
        <w:rPr>
          <w:rFonts w:hint="eastAsia"/>
        </w:rPr>
        <w:fldChar w:fldCharType="begin"/>
      </w:r>
      <w:r>
        <w:rPr>
          <w:rFonts w:hint="eastAsia"/>
        </w:rPr>
        <w:instrText xml:space="preserve"> </w:instrText>
      </w:r>
      <w:r>
        <w:instrText xml:space="preserve">PAGEREF _Toc231215114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196484EF">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"_Toc231215115" </w:instrText>
      </w:r>
      <w:r>
        <w:fldChar w:fldCharType="separate"/>
      </w:r>
      <w:r>
        <w:rPr>
          <w:rStyle w:val="32"/>
          <w:rFonts w:hint="eastAsia"/>
          <w14:scene3d w14:prst="orthographicFront">
            <w14:lightRig w14:rig="threePt" w14:dir="t">
              <w14:rot w14:lat="0" w14:lon="0" w14:rev="0"/>
            </w14:lightRig>
          </w14:scene3d>
        </w:rPr>
        <w:t>7.3</w:t>
      </w:r>
      <w:r>
        <w:rPr>
          <w:rStyle w:val="32"/>
          <w14:scene3d w14:prst="orthographicFront">
            <w14:lightRig w14:rig="threePt" w14:dir="t">
              <w14:rot w14:lat="0" w14:lon="0" w14:rev="0"/>
            </w14:lightRig>
          </w14:scene3d>
        </w:rPr>
        <w:t xml:space="preserve"> </w:t>
      </w:r>
      <w:r>
        <w:rPr>
          <w:rStyle w:val="32"/>
          <w:rFonts w:hint="eastAsia"/>
        </w:rPr>
        <w:t xml:space="preserve"> 生产阶段的温室气体排放</w:t>
      </w:r>
      <w:r>
        <w:rPr>
          <w:rFonts w:hint="eastAsia"/>
        </w:rPr>
        <w:tab/>
      </w:r>
      <w:r>
        <w:rPr>
          <w:rFonts w:hint="eastAsia"/>
        </w:rPr>
        <w:fldChar w:fldCharType="begin"/>
      </w:r>
      <w:r>
        <w:rPr>
          <w:rFonts w:hint="eastAsia"/>
        </w:rPr>
        <w:instrText xml:space="preserve"> </w:instrText>
      </w:r>
      <w:r>
        <w:instrText xml:space="preserve">PAGEREF _Toc231215115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404C8843">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"_Toc231215116" </w:instrText>
      </w:r>
      <w:r>
        <w:fldChar w:fldCharType="separate"/>
      </w:r>
      <w:r>
        <w:rPr>
          <w:rStyle w:val="32"/>
          <w:rFonts w:hint="eastAsia"/>
        </w:rPr>
        <w:t>8</w:t>
      </w:r>
      <w:r>
        <w:rPr>
          <w:rStyle w:val="32"/>
        </w:rPr>
        <w:t xml:space="preserve"> </w:t>
      </w:r>
      <w:r>
        <w:rPr>
          <w:rStyle w:val="32"/>
          <w:rFonts w:hint="eastAsia"/>
        </w:rPr>
        <w:t xml:space="preserve"> 结果解释</w:t>
      </w:r>
      <w:r>
        <w:rPr>
          <w:rFonts w:hint="eastAsia"/>
        </w:rPr>
        <w:tab/>
      </w:r>
      <w:r>
        <w:rPr>
          <w:rFonts w:hint="eastAsia"/>
        </w:rPr>
        <w:fldChar w:fldCharType="begin"/>
      </w:r>
      <w:r>
        <w:rPr>
          <w:rFonts w:hint="eastAsia"/>
        </w:rPr>
        <w:instrText xml:space="preserve"> </w:instrText>
      </w:r>
      <w:r>
        <w:instrText xml:space="preserve">PAGEREF _Toc231215116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53143819">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"_Toc231215117" </w:instrText>
      </w:r>
      <w:r>
        <w:fldChar w:fldCharType="separate"/>
      </w:r>
      <w:r>
        <w:rPr>
          <w:rStyle w:val="32"/>
          <w:rFonts w:hint="eastAsia"/>
        </w:rPr>
        <w:t>9</w:t>
      </w:r>
      <w:r>
        <w:rPr>
          <w:rStyle w:val="32"/>
        </w:rPr>
        <w:t xml:space="preserve"> </w:t>
      </w:r>
      <w:r>
        <w:rPr>
          <w:rStyle w:val="32"/>
          <w:rFonts w:hint="eastAsia"/>
        </w:rPr>
        <w:t xml:space="preserve"> 碳足迹报告</w:t>
      </w:r>
      <w:r>
        <w:rPr>
          <w:rFonts w:hint="eastAsia"/>
        </w:rPr>
        <w:tab/>
      </w:r>
      <w:r>
        <w:rPr>
          <w:rFonts w:hint="eastAsia"/>
        </w:rPr>
        <w:fldChar w:fldCharType="begin"/>
      </w:r>
      <w:r>
        <w:rPr>
          <w:rFonts w:hint="eastAsia"/>
        </w:rPr>
        <w:instrText xml:space="preserve"> </w:instrText>
      </w:r>
      <w:r>
        <w:instrText xml:space="preserve">PAGEREF _Toc231215117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49B8F50B">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"_Toc231215118" </w:instrText>
      </w:r>
      <w:r>
        <w:fldChar w:fldCharType="separate"/>
      </w:r>
      <w:r>
        <w:rPr>
          <w:rStyle w:val="32"/>
          <w:rFonts w:hint="eastAsia"/>
        </w:rPr>
        <w:t>10</w:t>
      </w:r>
      <w:r>
        <w:rPr>
          <w:rStyle w:val="32"/>
        </w:rPr>
        <w:t xml:space="preserve"> </w:t>
      </w:r>
      <w:r>
        <w:rPr>
          <w:rStyle w:val="32"/>
          <w:rFonts w:hint="eastAsia"/>
        </w:rPr>
        <w:t xml:space="preserve"> 碳足迹声明</w:t>
      </w:r>
      <w:r>
        <w:rPr>
          <w:rFonts w:hint="eastAsia"/>
        </w:rPr>
        <w:tab/>
      </w:r>
      <w:r>
        <w:rPr>
          <w:rFonts w:hint="eastAsia"/>
        </w:rPr>
        <w:fldChar w:fldCharType="begin"/>
      </w:r>
      <w:r>
        <w:rPr>
          <w:rFonts w:hint="eastAsia"/>
        </w:rPr>
        <w:instrText xml:space="preserve"> </w:instrText>
      </w:r>
      <w:r>
        <w:instrText xml:space="preserve">PAGEREF _Toc231215118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579D784B">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"_Toc231215119" </w:instrText>
      </w:r>
      <w:r>
        <w:fldChar w:fldCharType="separate"/>
      </w:r>
      <w:r>
        <w:rPr>
          <w:rStyle w:val="32"/>
          <w:rFonts w:hint="eastAsia"/>
        </w:rPr>
        <w:t>附录A（资料性）</w:t>
      </w:r>
      <w:r>
        <w:rPr>
          <w:rStyle w:val="32"/>
        </w:rPr>
        <w:t xml:space="preserve"> </w:t>
      </w:r>
      <w:r>
        <w:rPr>
          <w:rStyle w:val="32"/>
          <w:rFonts w:hint="eastAsia"/>
        </w:rPr>
        <w:t xml:space="preserve"> 主要排放来源及排放节点识别</w:t>
      </w:r>
      <w:r>
        <w:rPr>
          <w:rFonts w:hint="eastAsia"/>
        </w:rPr>
        <w:tab/>
      </w:r>
      <w:r>
        <w:rPr>
          <w:rFonts w:hint="eastAsia"/>
        </w:rPr>
        <w:fldChar w:fldCharType="begin"/>
      </w:r>
      <w:r>
        <w:rPr>
          <w:rFonts w:hint="eastAsia"/>
        </w:rPr>
        <w:instrText xml:space="preserve"> </w:instrText>
      </w:r>
      <w:r>
        <w:instrText xml:space="preserve">PAGEREF _Toc231215119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4F1CB228">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"_Toc231215120" </w:instrText>
      </w:r>
      <w:r>
        <w:fldChar w:fldCharType="separate"/>
      </w:r>
      <w:r>
        <w:rPr>
          <w:rStyle w:val="32"/>
          <w:rFonts w:hint="eastAsia"/>
        </w:rPr>
        <w:t>A.1</w:t>
      </w:r>
      <w:r>
        <w:rPr>
          <w:rStyle w:val="32"/>
        </w:rPr>
        <w:t xml:space="preserve"> </w:t>
      </w:r>
      <w:r>
        <w:rPr>
          <w:rStyle w:val="32"/>
          <w:rFonts w:hint="eastAsia"/>
        </w:rPr>
        <w:t xml:space="preserve"> 港口集装箱/杂货/滚装装卸作业机械分类</w:t>
      </w:r>
      <w:r>
        <w:rPr>
          <w:rFonts w:hint="eastAsia"/>
        </w:rPr>
        <w:tab/>
      </w:r>
      <w:r>
        <w:rPr>
          <w:rFonts w:hint="eastAsia"/>
        </w:rPr>
        <w:fldChar w:fldCharType="begin"/>
      </w:r>
      <w:r>
        <w:rPr>
          <w:rFonts w:hint="eastAsia"/>
        </w:rPr>
        <w:instrText xml:space="preserve"> </w:instrText>
      </w:r>
      <w:r>
        <w:instrText xml:space="preserve">PAGEREF _Toc231215120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1AEB8B5D">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"_Toc231215121" </w:instrText>
      </w:r>
      <w:r>
        <w:fldChar w:fldCharType="separate"/>
      </w:r>
      <w:r>
        <w:rPr>
          <w:rStyle w:val="32"/>
          <w:rFonts w:hint="eastAsia"/>
        </w:rPr>
        <w:t>A.2</w:t>
      </w:r>
      <w:r>
        <w:rPr>
          <w:rStyle w:val="32"/>
        </w:rPr>
        <w:t xml:space="preserve"> </w:t>
      </w:r>
      <w:r>
        <w:rPr>
          <w:rStyle w:val="32"/>
          <w:rFonts w:hint="eastAsia"/>
        </w:rPr>
        <w:t xml:space="preserve"> 排放节点识别与分析</w:t>
      </w:r>
      <w:r>
        <w:rPr>
          <w:rFonts w:hint="eastAsia"/>
        </w:rPr>
        <w:tab/>
      </w:r>
      <w:r>
        <w:rPr>
          <w:rFonts w:hint="eastAsia"/>
        </w:rPr>
        <w:fldChar w:fldCharType="begin"/>
      </w:r>
      <w:r>
        <w:rPr>
          <w:rFonts w:hint="eastAsia"/>
        </w:rPr>
        <w:instrText xml:space="preserve"> </w:instrText>
      </w:r>
      <w:r>
        <w:instrText xml:space="preserve">PAGEREF _Toc231215121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594E38AA">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"_Toc231215122" </w:instrText>
      </w:r>
      <w:r>
        <w:fldChar w:fldCharType="separate"/>
      </w:r>
      <w:r>
        <w:rPr>
          <w:rStyle w:val="32"/>
          <w:rFonts w:hint="eastAsia"/>
        </w:rPr>
        <w:t>附录B（资料性）</w:t>
      </w:r>
      <w:r>
        <w:rPr>
          <w:rStyle w:val="32"/>
        </w:rPr>
        <w:t xml:space="preserve"> </w:t>
      </w:r>
      <w:r>
        <w:rPr>
          <w:rStyle w:val="32"/>
          <w:rFonts w:hint="eastAsia"/>
        </w:rPr>
        <w:t xml:space="preserve"> 全球变暖潜势值参考</w:t>
      </w:r>
      <w:r>
        <w:rPr>
          <w:rFonts w:hint="eastAsia"/>
        </w:rPr>
        <w:tab/>
      </w:r>
      <w:r>
        <w:rPr>
          <w:rFonts w:hint="eastAsia"/>
        </w:rPr>
        <w:fldChar w:fldCharType="begin"/>
      </w:r>
      <w:r>
        <w:rPr>
          <w:rFonts w:hint="eastAsia"/>
        </w:rPr>
        <w:instrText xml:space="preserve"> </w:instrText>
      </w:r>
      <w:r>
        <w:instrText xml:space="preserve">PAGEREF _Toc231215122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28E0AF58">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"_Toc231215123" </w:instrText>
      </w:r>
      <w:r>
        <w:fldChar w:fldCharType="separate"/>
      </w:r>
      <w:r>
        <w:rPr>
          <w:rStyle w:val="32"/>
          <w:rFonts w:hint="eastAsia"/>
        </w:rPr>
        <w:t>附录C（资料性）</w:t>
      </w:r>
      <w:r>
        <w:rPr>
          <w:rStyle w:val="32"/>
        </w:rPr>
        <w:t xml:space="preserve"> </w:t>
      </w:r>
      <w:r>
        <w:rPr>
          <w:rStyle w:val="32"/>
          <w:rFonts w:hint="eastAsia"/>
        </w:rPr>
        <w:t xml:space="preserve"> 碳足迹因子推荐值</w:t>
      </w:r>
      <w:r>
        <w:rPr>
          <w:rFonts w:hint="eastAsia"/>
        </w:rPr>
        <w:tab/>
      </w:r>
      <w:r>
        <w:rPr>
          <w:rFonts w:hint="eastAsia"/>
        </w:rPr>
        <w:fldChar w:fldCharType="begin"/>
      </w:r>
      <w:r>
        <w:rPr>
          <w:rFonts w:hint="eastAsia"/>
        </w:rPr>
        <w:instrText xml:space="preserve"> </w:instrText>
      </w:r>
      <w:r>
        <w:instrText xml:space="preserve">PAGEREF _Toc231215123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4EB397C9">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"_Toc231215124" </w:instrText>
      </w:r>
      <w:r>
        <w:fldChar w:fldCharType="separate"/>
      </w:r>
      <w:r>
        <w:rPr>
          <w:rStyle w:val="32"/>
          <w:rFonts w:hint="eastAsia"/>
        </w:rPr>
        <w:t>C.1</w:t>
      </w:r>
      <w:r>
        <w:rPr>
          <w:rStyle w:val="32"/>
        </w:rPr>
        <w:t xml:space="preserve"> </w:t>
      </w:r>
      <w:r>
        <w:rPr>
          <w:rStyle w:val="32"/>
          <w:rFonts w:hint="eastAsia"/>
        </w:rPr>
        <w:t xml:space="preserve"> 常见化石燃料二氧化碳排放因子</w:t>
      </w:r>
      <w:r>
        <w:rPr>
          <w:rFonts w:hint="eastAsia"/>
        </w:rPr>
        <w:tab/>
      </w:r>
      <w:r>
        <w:rPr>
          <w:rFonts w:hint="eastAsia"/>
        </w:rPr>
        <w:fldChar w:fldCharType="begin"/>
      </w:r>
      <w:r>
        <w:rPr>
          <w:rFonts w:hint="eastAsia"/>
        </w:rPr>
        <w:instrText xml:space="preserve"> </w:instrText>
      </w:r>
      <w:r>
        <w:instrText xml:space="preserve">PAGEREF _Toc231215124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5AD2EB89">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"_Toc231215125" </w:instrText>
      </w:r>
      <w:r>
        <w:fldChar w:fldCharType="separate"/>
      </w:r>
      <w:r>
        <w:rPr>
          <w:rStyle w:val="32"/>
          <w:rFonts w:hint="eastAsia"/>
        </w:rPr>
        <w:t>C.2</w:t>
      </w:r>
      <w:r>
        <w:rPr>
          <w:rStyle w:val="32"/>
        </w:rPr>
        <w:t xml:space="preserve"> </w:t>
      </w:r>
      <w:r>
        <w:rPr>
          <w:rStyle w:val="32"/>
          <w:rFonts w:hint="eastAsia"/>
        </w:rPr>
        <w:t xml:space="preserve"> 电力碳足迹因子</w:t>
      </w:r>
      <w:r>
        <w:rPr>
          <w:rFonts w:hint="eastAsia"/>
        </w:rPr>
        <w:tab/>
      </w:r>
      <w:r>
        <w:rPr>
          <w:rFonts w:hint="eastAsia"/>
        </w:rPr>
        <w:fldChar w:fldCharType="begin"/>
      </w:r>
      <w:r>
        <w:rPr>
          <w:rFonts w:hint="eastAsia"/>
        </w:rPr>
        <w:instrText xml:space="preserve"> </w:instrText>
      </w:r>
      <w:r>
        <w:instrText xml:space="preserve">PAGEREF _Toc231215125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68A2C7B9">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"_Toc231215126" </w:instrText>
      </w:r>
      <w:r>
        <w:fldChar w:fldCharType="separate"/>
      </w:r>
      <w:r>
        <w:rPr>
          <w:rStyle w:val="32"/>
          <w:rFonts w:hint="eastAsia"/>
        </w:rPr>
        <w:t>C.3</w:t>
      </w:r>
      <w:r>
        <w:rPr>
          <w:rStyle w:val="32"/>
        </w:rPr>
        <w:t xml:space="preserve"> </w:t>
      </w:r>
      <w:r>
        <w:rPr>
          <w:rStyle w:val="32"/>
          <w:rFonts w:hint="eastAsia"/>
        </w:rPr>
        <w:t xml:space="preserve"> 热力碳排放因子</w:t>
      </w:r>
      <w:r>
        <w:rPr>
          <w:rFonts w:hint="eastAsia"/>
        </w:rPr>
        <w:tab/>
      </w:r>
      <w:r>
        <w:rPr>
          <w:rFonts w:hint="eastAsia"/>
        </w:rPr>
        <w:fldChar w:fldCharType="begin"/>
      </w:r>
      <w:r>
        <w:rPr>
          <w:rFonts w:hint="eastAsia"/>
        </w:rPr>
        <w:instrText xml:space="preserve"> </w:instrText>
      </w:r>
      <w:r>
        <w:instrText xml:space="preserve">PAGEREF _Toc231215126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47D5060F">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"_Toc231215127" </w:instrText>
      </w:r>
      <w:r>
        <w:fldChar w:fldCharType="separate"/>
      </w:r>
      <w:r>
        <w:rPr>
          <w:rStyle w:val="32"/>
          <w:rFonts w:hint="eastAsia"/>
        </w:rPr>
        <w:t>附录D（资料性）</w:t>
      </w:r>
      <w:r>
        <w:rPr>
          <w:rStyle w:val="32"/>
        </w:rPr>
        <w:t xml:space="preserve"> </w:t>
      </w:r>
      <w:r>
        <w:rPr>
          <w:rStyle w:val="32"/>
          <w:rFonts w:hint="eastAsia"/>
        </w:rPr>
        <w:t xml:space="preserve"> 数据质量评估</w:t>
      </w:r>
      <w:r>
        <w:rPr>
          <w:rFonts w:hint="eastAsia"/>
        </w:rPr>
        <w:tab/>
      </w:r>
      <w:r>
        <w:rPr>
          <w:rFonts w:hint="eastAsia"/>
        </w:rPr>
        <w:fldChar w:fldCharType="begin"/>
      </w:r>
      <w:r>
        <w:rPr>
          <w:rFonts w:hint="eastAsia"/>
        </w:rPr>
        <w:instrText xml:space="preserve"> </w:instrText>
      </w:r>
      <w:r>
        <w:instrText xml:space="preserve">PAGEREF _Toc231215127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52563EF8">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"_Toc231215128" </w:instrText>
      </w:r>
      <w:r>
        <w:fldChar w:fldCharType="separate"/>
      </w:r>
      <w:r>
        <w:rPr>
          <w:rStyle w:val="32"/>
          <w:rFonts w:hint="eastAsia"/>
        </w:rPr>
        <w:t>附录E（资料性）</w:t>
      </w:r>
      <w:r>
        <w:rPr>
          <w:rStyle w:val="32"/>
        </w:rPr>
        <w:t xml:space="preserve"> </w:t>
      </w:r>
      <w:r>
        <w:rPr>
          <w:rStyle w:val="32"/>
          <w:rFonts w:hint="eastAsia"/>
        </w:rPr>
        <w:t xml:space="preserve"> 服务碳足迹报告（模板）</w:t>
      </w:r>
      <w:r>
        <w:rPr>
          <w:rFonts w:hint="eastAsia"/>
        </w:rPr>
        <w:tab/>
      </w:r>
      <w:r>
        <w:rPr>
          <w:rFonts w:hint="eastAsia"/>
        </w:rPr>
        <w:fldChar w:fldCharType="begin"/>
      </w:r>
      <w:r>
        <w:rPr>
          <w:rFonts w:hint="eastAsia"/>
        </w:rPr>
        <w:instrText xml:space="preserve"> </w:instrText>
      </w:r>
      <w:r>
        <w:instrText xml:space="preserve">PAGEREF _Toc231215128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51BAA1E9">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"_Toc231215129" </w:instrText>
      </w:r>
      <w:r>
        <w:fldChar w:fldCharType="separate"/>
      </w:r>
      <w:r>
        <w:rPr>
          <w:rStyle w:val="32"/>
          <w:rFonts w:hint="eastAsia"/>
        </w:rPr>
        <w:t>参考文献</w:t>
      </w:r>
      <w:r>
        <w:rPr>
          <w:rFonts w:hint="eastAsia"/>
        </w:rPr>
        <w:tab/>
      </w:r>
      <w:r>
        <w:rPr>
          <w:rFonts w:hint="eastAsia"/>
        </w:rPr>
        <w:fldChar w:fldCharType="begin"/>
      </w:r>
      <w:r>
        <w:rPr>
          <w:rFonts w:hint="eastAsia"/>
        </w:rPr>
        <w:instrText xml:space="preserve"> </w:instrText>
      </w:r>
      <w:r>
        <w:instrText xml:space="preserve">PAGEREF _Toc231215129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23255A7E">
      <w:pPr>
        <w:pStyle w:val="91"/>
        <w:spacing w:after="360"/>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19"/>
    <w:p w14:paraId="5D2EC082">
      <w:pPr>
        <w:pStyle w:val="89"/>
        <w:spacing w:before="560" w:after="360"/>
      </w:pPr>
      <w:bookmarkStart w:id="21" w:name="_Toc231215096"/>
      <w:bookmarkStart w:id="22" w:name="BookMark2"/>
      <w:r>
        <w:rPr>
          <w:rFonts w:hint="eastAsia"/>
          <w:spacing w:val="320"/>
        </w:rPr>
        <w:t>前</w:t>
      </w:r>
      <w:r>
        <w:rPr>
          <w:rFonts w:hint="eastAsia"/>
        </w:rPr>
        <w:t>言</w:t>
      </w:r>
      <w:bookmarkEnd w:id="20"/>
      <w:bookmarkEnd w:id="21"/>
    </w:p>
    <w:p w14:paraId="4F422515">
      <w:pPr>
        <w:pStyle w:val="56"/>
        <w:ind w:firstLine="420"/>
      </w:pPr>
      <w:r>
        <w:rPr>
          <w:rFonts w:hint="eastAsia"/>
        </w:rPr>
        <w:t>本文件按照GB/T 1.1—2020《标准化工作导则  第1部分：标准化文件的结构和起草规则》的规定起草。</w:t>
      </w:r>
    </w:p>
    <w:p w14:paraId="5A742B52">
      <w:pPr>
        <w:pStyle w:val="56"/>
        <w:ind w:firstLine="420"/>
      </w:pPr>
      <w:r>
        <w:rPr>
          <w:rFonts w:hint="eastAsia"/>
        </w:rPr>
        <w:t>请注意本文件的某些内容可能涉及专利。本文件的发布机构不承担识别专利的责任。</w:t>
      </w:r>
    </w:p>
    <w:p w14:paraId="0D1144CB">
      <w:pPr>
        <w:pStyle w:val="56"/>
        <w:ind w:firstLine="420"/>
      </w:pPr>
      <w:r>
        <w:rPr>
          <w:rFonts w:hint="eastAsia"/>
        </w:rPr>
        <w:t>本文件由商港航数字科技（辽宁）有限公司提出。</w:t>
      </w:r>
    </w:p>
    <w:p w14:paraId="1D55AC4E">
      <w:pPr>
        <w:pStyle w:val="56"/>
        <w:ind w:firstLine="420"/>
      </w:pPr>
      <w:r>
        <w:rPr>
          <w:rFonts w:hint="eastAsia"/>
        </w:rPr>
        <w:t>本文件由大连市标准化协会归口。</w:t>
      </w:r>
    </w:p>
    <w:p w14:paraId="304745B9">
      <w:pPr>
        <w:pStyle w:val="56"/>
        <w:ind w:firstLine="420"/>
      </w:pPr>
      <w:r>
        <w:rPr>
          <w:rFonts w:hint="eastAsia"/>
        </w:rPr>
        <w:t>本文件起草单位：辽宁港口集团有限公司、中国船级社质量认证有限公司、大连集装箱码头有限公司、招商港航数字科技（辽宁）有限公司。</w:t>
      </w:r>
    </w:p>
    <w:p w14:paraId="61ED2272">
      <w:pPr>
        <w:pStyle w:val="56"/>
        <w:ind w:firstLine="420"/>
      </w:pPr>
      <w:r>
        <w:rPr>
          <w:rFonts w:hint="eastAsia"/>
        </w:rPr>
        <w:t>本文件主要起草人：杨惠云、韩广东、王睿智、张坤、黎晓光、张浩、毛均、刘广会、张大勇、陈梦阳、刘万明、杨占旭、李希杰、刘冬、肖微、李娜、刘婧、邵维宽、范海燕、管战鹰、王琦、刘海军、曲永强。</w:t>
      </w:r>
    </w:p>
    <w:p w14:paraId="5E9609AF">
      <w:pPr>
        <w:pStyle w:val="56"/>
        <w:ind w:firstLine="420"/>
      </w:pPr>
    </w:p>
    <w:p w14:paraId="3D69DF57">
      <w:pPr>
        <w:pStyle w:val="56"/>
        <w:ind w:firstLine="420"/>
        <w:sectPr>
          <w:pgSz w:w="11906" w:h="16838"/>
          <w:pgMar w:top="1928" w:right="1134" w:bottom="1134" w:left="1134" w:header="1418" w:footer="1134" w:gutter="284"/>
          <w:pgNumType w:fmt="upperRoman"/>
          <w:cols w:space="425" w:num="1"/>
          <w:formProt w:val="0"/>
          <w:docGrid w:linePitch="312" w:charSpace="0"/>
        </w:sectPr>
      </w:pPr>
    </w:p>
    <w:bookmarkEnd w:id="22"/>
    <w:p w14:paraId="4F937BBA">
      <w:pPr>
        <w:spacing w:line="20" w:lineRule="exact"/>
        <w:jc w:val="center"/>
        <w:rPr>
          <w:rFonts w:hint="eastAsia" w:ascii="黑体" w:hAnsi="黑体" w:eastAsia="黑体"/>
          <w:sz w:val="32"/>
          <w:szCs w:val="32"/>
        </w:rPr>
      </w:pPr>
      <w:bookmarkStart w:id="23" w:name="BookMark4"/>
    </w:p>
    <w:p w14:paraId="67FE7FC9">
      <w:pPr>
        <w:spacing w:line="20" w:lineRule="exact"/>
        <w:jc w:val="center"/>
        <w:rPr>
          <w:rFonts w:hint="eastAsia" w:ascii="黑体" w:hAnsi="黑体" w:eastAsia="黑体"/>
          <w:sz w:val="32"/>
          <w:szCs w:val="32"/>
        </w:rPr>
      </w:pPr>
    </w:p>
    <w:sdt>
      <w:sdtPr>
        <w:tag w:val="NEW_STAND_NAME"/>
        <w:id w:val="595910757"/>
        <w:lock w:val="sdtLocked"/>
        <w:placeholder>
          <w:docPart w:val="083B0E8D519E49AA8735F4430361B10B"/>
        </w:placeholder>
      </w:sdtPr>
      <w:sdtContent>
        <w:p w14:paraId="29792D78">
          <w:pPr>
            <w:pStyle w:val="177"/>
            <w:spacing w:before="240" w:beforeLines="100" w:after="528" w:afterLines="220"/>
            <w:rPr>
              <w:rFonts w:hint="eastAsia"/>
            </w:rPr>
          </w:pPr>
          <w:bookmarkStart w:id="24" w:name="NEW_STAND_NAME"/>
          <w:r>
            <w:rPr>
              <w:rFonts w:hint="eastAsia"/>
            </w:rPr>
            <w:t>温室气体 产品碳足迹量化方法和要求 港口货物装卸服务</w:t>
          </w:r>
        </w:p>
      </w:sdtContent>
    </w:sdt>
    <w:bookmarkEnd w:id="24"/>
    <w:p w14:paraId="28D21A34">
      <w:pPr>
        <w:pStyle w:val="104"/>
        <w:spacing w:before="240" w:after="240"/>
      </w:pPr>
      <w:bookmarkStart w:id="25" w:name="_Toc26986771"/>
      <w:bookmarkStart w:id="26" w:name="_Toc26718930"/>
      <w:bookmarkStart w:id="27" w:name="_Toc17233325"/>
      <w:bookmarkStart w:id="28" w:name="_Toc17233333"/>
      <w:bookmarkStart w:id="29" w:name="_Toc24884218"/>
      <w:bookmarkStart w:id="30" w:name="_Toc24884211"/>
      <w:bookmarkStart w:id="31" w:name="_Toc26648465"/>
      <w:bookmarkStart w:id="32" w:name="_Toc26986530"/>
      <w:bookmarkStart w:id="33" w:name="_Toc97192964"/>
      <w:bookmarkStart w:id="34" w:name="_Toc231201465"/>
      <w:bookmarkStart w:id="35" w:name="_Toc231207625"/>
      <w:bookmarkStart w:id="36" w:name="_Toc231215097"/>
      <w:r>
        <w:rPr>
          <w:rFonts w:hint="eastAsia"/>
        </w:rPr>
        <w:t>范围</w:t>
      </w:r>
      <w:bookmarkEnd w:id="25"/>
      <w:bookmarkEnd w:id="26"/>
      <w:bookmarkEnd w:id="27"/>
      <w:bookmarkEnd w:id="28"/>
      <w:bookmarkEnd w:id="29"/>
      <w:bookmarkEnd w:id="30"/>
      <w:bookmarkEnd w:id="31"/>
      <w:bookmarkEnd w:id="32"/>
      <w:bookmarkEnd w:id="33"/>
      <w:bookmarkEnd w:id="34"/>
      <w:bookmarkEnd w:id="35"/>
      <w:bookmarkEnd w:id="36"/>
    </w:p>
    <w:p w14:paraId="5B757706">
      <w:pPr>
        <w:pStyle w:val="56"/>
        <w:ind w:firstLine="420"/>
      </w:pPr>
      <w:bookmarkStart w:id="37" w:name="_Toc24884219"/>
      <w:bookmarkStart w:id="38" w:name="_Toc24884212"/>
      <w:bookmarkStart w:id="39" w:name="_Toc17233334"/>
      <w:bookmarkStart w:id="40" w:name="_Toc26648466"/>
      <w:bookmarkStart w:id="41" w:name="_Toc17233326"/>
      <w:r>
        <w:rPr>
          <w:rFonts w:hint="eastAsia"/>
        </w:rPr>
        <w:t>本文件规定了港口货物（集装箱、杂货、滚装货物）装卸服务碳足迹量化的量化目的、量化范围、清单分析、影响评价、结果解释、碳足迹报告和声明等内容。</w:t>
      </w:r>
    </w:p>
    <w:p w14:paraId="1F440CEB">
      <w:pPr>
        <w:pStyle w:val="56"/>
        <w:ind w:firstLine="420"/>
      </w:pPr>
      <w:r>
        <w:rPr>
          <w:rFonts w:hint="eastAsia"/>
        </w:rPr>
        <w:t>本文件适用于货物（集装箱、杂货、滚装货物）在港口装卸服务过程中产生的碳足迹的量化。</w:t>
      </w:r>
    </w:p>
    <w:p w14:paraId="10B0468D">
      <w:pPr>
        <w:pStyle w:val="104"/>
        <w:spacing w:before="240" w:after="240"/>
      </w:pPr>
      <w:bookmarkStart w:id="42" w:name="_Toc26718931"/>
      <w:bookmarkStart w:id="43" w:name="_Toc26986531"/>
      <w:bookmarkStart w:id="44" w:name="_Toc26986772"/>
      <w:bookmarkStart w:id="45" w:name="_Toc231215098"/>
      <w:bookmarkStart w:id="46" w:name="_Toc97192965"/>
      <w:bookmarkStart w:id="47" w:name="_Toc231207626"/>
      <w:bookmarkStart w:id="48" w:name="_Toc231201466"/>
      <w:r>
        <w:rPr>
          <w:rFonts w:hint="eastAsia"/>
        </w:rPr>
        <w:t>规范性引用文件</w:t>
      </w:r>
      <w:bookmarkEnd w:id="37"/>
      <w:bookmarkEnd w:id="38"/>
      <w:bookmarkEnd w:id="39"/>
      <w:bookmarkEnd w:id="40"/>
      <w:bookmarkEnd w:id="41"/>
      <w:bookmarkEnd w:id="42"/>
      <w:bookmarkEnd w:id="43"/>
      <w:bookmarkEnd w:id="44"/>
      <w:bookmarkEnd w:id="45"/>
      <w:bookmarkEnd w:id="46"/>
      <w:bookmarkEnd w:id="47"/>
      <w:bookmarkEnd w:id="48"/>
    </w:p>
    <w:sdt>
      <w:sdtPr>
        <w:rPr>
          <w:rFonts w:hint="eastAsia"/>
        </w:rPr>
        <w:id w:val="715848253"/>
        <w:placeholder>
          <w:docPart w:val="A38BD344D6A9424A8C270686061076AF"/>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558F4505">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66926487">
      <w:pPr>
        <w:pStyle w:val="56"/>
        <w:ind w:firstLine="420"/>
      </w:pPr>
      <w:r>
        <w:rPr>
          <w:rFonts w:hint="eastAsia"/>
        </w:rPr>
        <w:t>GB/T 24067  温室气体 产品碳足迹 量化要求和指南</w:t>
      </w:r>
    </w:p>
    <w:p w14:paraId="1927716D">
      <w:pPr>
        <w:pStyle w:val="56"/>
        <w:ind w:firstLine="420"/>
      </w:pPr>
      <w:r>
        <w:rPr>
          <w:rFonts w:hint="eastAsia"/>
        </w:rPr>
        <w:t>GB/T 32150  工业企业温室气体排放核算和报告通则</w:t>
      </w:r>
    </w:p>
    <w:p w14:paraId="19372908">
      <w:pPr>
        <w:pStyle w:val="56"/>
        <w:ind w:firstLine="420"/>
      </w:pPr>
      <w:r>
        <w:rPr>
          <w:rFonts w:hint="eastAsia"/>
        </w:rPr>
        <w:t>GB 17167  用能单位能源计量器具配备和管理通则</w:t>
      </w:r>
    </w:p>
    <w:p w14:paraId="7457BAB0">
      <w:pPr>
        <w:pStyle w:val="56"/>
        <w:ind w:firstLine="420"/>
      </w:pPr>
      <w:r>
        <w:rPr>
          <w:rFonts w:hint="eastAsia"/>
        </w:rPr>
        <w:t>GB/T 24045  环境管理 产品系统生态效率评估 原则、要求与指南</w:t>
      </w:r>
    </w:p>
    <w:p w14:paraId="64A1E507">
      <w:pPr>
        <w:pStyle w:val="104"/>
        <w:spacing w:before="240" w:after="240"/>
      </w:pPr>
      <w:bookmarkStart w:id="49" w:name="_Toc97192966"/>
      <w:bookmarkStart w:id="50" w:name="_Toc231215099"/>
      <w:bookmarkStart w:id="51" w:name="_Toc231207627"/>
      <w:bookmarkStart w:id="52" w:name="_Toc231201467"/>
      <w:r>
        <w:rPr>
          <w:rFonts w:hint="eastAsia"/>
          <w:szCs w:val="21"/>
        </w:rPr>
        <w:t>术语和定义</w:t>
      </w:r>
      <w:bookmarkEnd w:id="49"/>
      <w:bookmarkEnd w:id="50"/>
      <w:bookmarkEnd w:id="51"/>
      <w:bookmarkEnd w:id="52"/>
    </w:p>
    <w:sdt>
      <w:sdtPr>
        <w:id w:val="-1909835108"/>
        <w:placeholder>
          <w:docPart w:val="B39B5DADB2034B0FB3D9FDD05E2A2302"/>
        </w:placeholder>
        <w:comboBox>
          <w:listItem w:displayText="点击并选择适当的引导语" w:value="点击并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31DC1762">
          <w:pPr>
            <w:pStyle w:val="56"/>
            <w:ind w:firstLine="420"/>
          </w:pPr>
          <w:bookmarkStart w:id="53" w:name="_Toc26986532"/>
          <w:bookmarkEnd w:id="53"/>
          <w:r>
            <w:rPr>
              <w:rFonts w:hint="eastAsia"/>
            </w:rPr>
            <w:t>GB/T 24067、GB/T 32150</w:t>
          </w:r>
          <w:r>
            <w:t>界定的以及下列术语和定义适用于本文件。</w:t>
          </w:r>
        </w:p>
      </w:sdtContent>
    </w:sdt>
    <w:p w14:paraId="6379DC46">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温室气体 greenhouse gas; GHG</w:t>
      </w:r>
    </w:p>
    <w:p w14:paraId="0E4FCD5B">
      <w:pPr>
        <w:pStyle w:val="56"/>
        <w:ind w:firstLine="420"/>
      </w:pPr>
      <w:r>
        <w:rPr>
          <w:rFonts w:hint="eastAsia"/>
        </w:rPr>
        <w:t>大气层中自然存在的和由于人类活动产生的能够吸收和散发由地球表面、大气层和云层所产生的、波长在红外光谱内的辐射的气态成分。</w:t>
      </w:r>
    </w:p>
    <w:p w14:paraId="2685D72E">
      <w:pPr>
        <w:pStyle w:val="179"/>
      </w:pPr>
      <w:r>
        <w:rPr>
          <w:rFonts w:hint="eastAsia"/>
        </w:rPr>
        <w:t>本文件中的温室气体包括二氧化碳（CO</w:t>
      </w:r>
      <w:r>
        <w:rPr>
          <w:rFonts w:hint="eastAsia"/>
          <w:vertAlign w:val="subscript"/>
        </w:rPr>
        <w:t>2</w:t>
      </w:r>
      <w:r>
        <w:rPr>
          <w:rFonts w:hint="eastAsia"/>
        </w:rPr>
        <w:t>）、甲烷（CH</w:t>
      </w:r>
      <w:r>
        <w:rPr>
          <w:rFonts w:hint="eastAsia"/>
          <w:vertAlign w:val="subscript"/>
        </w:rPr>
        <w:t>4</w:t>
      </w:r>
      <w:r>
        <w:rPr>
          <w:rFonts w:hint="eastAsia"/>
        </w:rPr>
        <w:t>）、氧化亚氮（N</w:t>
      </w:r>
      <w:r>
        <w:rPr>
          <w:rFonts w:hint="eastAsia"/>
          <w:vertAlign w:val="subscript"/>
        </w:rPr>
        <w:t>2</w:t>
      </w:r>
      <w:r>
        <w:rPr>
          <w:rFonts w:hint="eastAsia"/>
        </w:rPr>
        <w:t>O）、氢氟碳化物（HFCs）、全氟化碳（PFCs）、六氟化硫（SF</w:t>
      </w:r>
      <w:r>
        <w:rPr>
          <w:rFonts w:hint="eastAsia"/>
          <w:vertAlign w:val="subscript"/>
        </w:rPr>
        <w:t>6</w:t>
      </w:r>
      <w:r>
        <w:rPr>
          <w:rFonts w:hint="eastAsia"/>
        </w:rPr>
        <w:t>）和三氟化氮（NF</w:t>
      </w:r>
      <w:r>
        <w:rPr>
          <w:rFonts w:hint="eastAsia"/>
          <w:vertAlign w:val="subscript"/>
        </w:rPr>
        <w:t>3</w:t>
      </w:r>
      <w:r>
        <w:rPr>
          <w:rFonts w:hint="eastAsia"/>
        </w:rPr>
        <w:t xml:space="preserve">）。 </w:t>
      </w:r>
    </w:p>
    <w:p w14:paraId="550442D1">
      <w:pPr>
        <w:pStyle w:val="56"/>
        <w:ind w:firstLine="420"/>
      </w:pPr>
      <w:r>
        <w:rPr>
          <w:rFonts w:hint="eastAsia"/>
        </w:rPr>
        <w:t>[来源：GB/T 32150—2025，3.1]</w:t>
      </w:r>
    </w:p>
    <w:p w14:paraId="1F844084">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二氧化碳当量 carbon dioxide </w:t>
      </w:r>
      <w:r>
        <w:rPr>
          <w:rFonts w:ascii="黑体" w:hAnsi="黑体" w:eastAsia="黑体"/>
        </w:rPr>
        <w:t>equival</w:t>
      </w:r>
      <w:r>
        <w:rPr>
          <w:rFonts w:hint="eastAsia" w:ascii="黑体" w:hAnsi="黑体" w:eastAsia="黑体"/>
        </w:rPr>
        <w:t>ent; CO</w:t>
      </w:r>
      <w:r>
        <w:rPr>
          <w:rFonts w:hint="eastAsia" w:ascii="黑体" w:hAnsi="黑体" w:eastAsia="黑体"/>
          <w:vertAlign w:val="subscript"/>
        </w:rPr>
        <w:t>2</w:t>
      </w:r>
      <w:r>
        <w:rPr>
          <w:rFonts w:hint="eastAsia" w:ascii="黑体" w:hAnsi="黑体" w:eastAsia="黑体"/>
        </w:rPr>
        <w:t>e</w:t>
      </w:r>
    </w:p>
    <w:p w14:paraId="740C066B">
      <w:pPr>
        <w:pStyle w:val="56"/>
        <w:ind w:firstLine="420"/>
      </w:pPr>
      <w:r>
        <w:rPr>
          <w:rFonts w:hint="eastAsia"/>
        </w:rPr>
        <w:t>在辐射强度上与某种温室气体质量相当的二氧化碳的量。</w:t>
      </w:r>
    </w:p>
    <w:p w14:paraId="614BC1D9">
      <w:pPr>
        <w:pStyle w:val="179"/>
      </w:pPr>
      <w:r>
        <w:rPr>
          <w:rFonts w:hint="eastAsia"/>
        </w:rPr>
        <w:t>二氧化碳当量等于温室气体的质量乘以其全球变暖潜能值。</w:t>
      </w:r>
    </w:p>
    <w:p w14:paraId="2FABD3B5">
      <w:pPr>
        <w:pStyle w:val="56"/>
        <w:ind w:firstLine="420"/>
      </w:pPr>
      <w:r>
        <w:rPr>
          <w:rFonts w:hint="eastAsia"/>
        </w:rPr>
        <w:t>[来源：GB/T 32150—2025，3.16]</w:t>
      </w:r>
    </w:p>
    <w:p w14:paraId="6DE592BB">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全球变暖潜势 global warming potential; GWP</w:t>
      </w:r>
    </w:p>
    <w:p w14:paraId="2940A5B4">
      <w:pPr>
        <w:pStyle w:val="56"/>
        <w:ind w:firstLine="420"/>
      </w:pPr>
      <w:r>
        <w:rPr>
          <w:rFonts w:hint="eastAsia"/>
        </w:rPr>
        <w:t>将单位质量的某种温室气体在给定时间段内辐射强迫的影响与等量二氧化碳辐射强迫影响相关联的系数。</w:t>
      </w:r>
    </w:p>
    <w:p w14:paraId="1B3AF0D2">
      <w:pPr>
        <w:pStyle w:val="56"/>
        <w:ind w:firstLine="420"/>
      </w:pPr>
      <w:r>
        <w:rPr>
          <w:rFonts w:hint="eastAsia"/>
        </w:rPr>
        <w:t>[来源：GB/T 32150—2025，3.15]</w:t>
      </w:r>
    </w:p>
    <w:p w14:paraId="3F355685">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活动数据 activity data; AD</w:t>
      </w:r>
    </w:p>
    <w:p w14:paraId="7C4508ED">
      <w:pPr>
        <w:pStyle w:val="56"/>
        <w:ind w:firstLine="422"/>
        <w:rPr>
          <w:b/>
          <w:bCs/>
        </w:rPr>
      </w:pPr>
      <w:r>
        <w:rPr>
          <w:rFonts w:hint="eastAsia"/>
          <w:b/>
          <w:bCs/>
        </w:rPr>
        <w:t>活动水平数据</w:t>
      </w:r>
    </w:p>
    <w:p w14:paraId="1C6AA8CD">
      <w:pPr>
        <w:pStyle w:val="56"/>
        <w:ind w:firstLine="420"/>
      </w:pPr>
      <w:r>
        <w:rPr>
          <w:rFonts w:hint="eastAsia"/>
        </w:rPr>
        <w:t>导致温室气体排放的生产或消费活动量的表征值。</w:t>
      </w:r>
    </w:p>
    <w:p w14:paraId="42DA7C1E">
      <w:pPr>
        <w:pStyle w:val="179"/>
      </w:pPr>
      <w:r>
        <w:rPr>
          <w:rFonts w:hint="eastAsia"/>
        </w:rPr>
        <w:t>如各种化石燃料的消耗量、原材料的使用量、购入的电量、购入的热量等。</w:t>
      </w:r>
    </w:p>
    <w:p w14:paraId="7F74596A">
      <w:pPr>
        <w:pStyle w:val="56"/>
        <w:ind w:firstLine="420"/>
      </w:pPr>
      <w:r>
        <w:rPr>
          <w:rFonts w:hint="eastAsia"/>
        </w:rPr>
        <w:t>[来源：GB/T 32150—2025，3.12]</w:t>
      </w:r>
    </w:p>
    <w:p w14:paraId="2D973850">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排放因子 emission factor; EF</w:t>
      </w:r>
    </w:p>
    <w:p w14:paraId="17504A0C">
      <w:pPr>
        <w:pStyle w:val="56"/>
        <w:ind w:firstLine="420"/>
      </w:pPr>
      <w:r>
        <w:rPr>
          <w:rFonts w:hint="eastAsia"/>
        </w:rPr>
        <w:t>表征单位生产或消费活动量的温室气体排放的系数。</w:t>
      </w:r>
    </w:p>
    <w:p w14:paraId="1D5811D5">
      <w:pPr>
        <w:pStyle w:val="56"/>
        <w:ind w:firstLine="420"/>
      </w:pPr>
      <w:r>
        <w:rPr>
          <w:rFonts w:hint="eastAsia"/>
        </w:rPr>
        <w:t>[来源：GB/T 32150—2025，3.13]</w:t>
      </w:r>
    </w:p>
    <w:p w14:paraId="56B0D7C4">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系统边界 system boundary</w:t>
      </w:r>
    </w:p>
    <w:p w14:paraId="087CDC94">
      <w:pPr>
        <w:pStyle w:val="56"/>
        <w:ind w:firstLine="420"/>
      </w:pPr>
      <w:r>
        <w:rPr>
          <w:rFonts w:hint="eastAsia"/>
        </w:rPr>
        <w:t>通过一组准则确定哪些单元过程属于产品系统的一部分。</w:t>
      </w:r>
    </w:p>
    <w:p w14:paraId="59526DAB">
      <w:pPr>
        <w:pStyle w:val="56"/>
        <w:ind w:firstLine="420"/>
      </w:pPr>
      <w:r>
        <w:rPr>
          <w:rFonts w:hint="eastAsia"/>
        </w:rPr>
        <w:t>[来源：GB/T 24067—2024，3.3.4]</w:t>
      </w:r>
    </w:p>
    <w:p w14:paraId="4A460F70">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功能单位 functional unit</w:t>
      </w:r>
    </w:p>
    <w:p w14:paraId="297AFBC9">
      <w:pPr>
        <w:pStyle w:val="56"/>
        <w:ind w:firstLine="420"/>
      </w:pPr>
      <w:r>
        <w:rPr>
          <w:rFonts w:hint="eastAsia"/>
        </w:rPr>
        <w:t>用来量化产品系统功能的基准单位。</w:t>
      </w:r>
    </w:p>
    <w:p w14:paraId="7CCB1F1D">
      <w:pPr>
        <w:pStyle w:val="56"/>
        <w:ind w:firstLine="420"/>
      </w:pPr>
      <w:r>
        <w:rPr>
          <w:rFonts w:hint="eastAsia"/>
        </w:rPr>
        <w:t>[来源：GB/T 24067—2024，3.3.7]</w:t>
      </w:r>
    </w:p>
    <w:p w14:paraId="17759D2A">
      <w:pPr>
        <w:pStyle w:val="104"/>
        <w:spacing w:before="240" w:after="240"/>
      </w:pPr>
      <w:bookmarkStart w:id="54" w:name="_Toc231207628"/>
      <w:bookmarkStart w:id="55" w:name="_Toc231215100"/>
      <w:r>
        <w:rPr>
          <w:rFonts w:hint="eastAsia"/>
        </w:rPr>
        <w:t>量化目的</w:t>
      </w:r>
      <w:bookmarkEnd w:id="54"/>
      <w:bookmarkEnd w:id="55"/>
    </w:p>
    <w:p w14:paraId="161B1107">
      <w:pPr>
        <w:pStyle w:val="56"/>
        <w:ind w:firstLine="420"/>
      </w:pPr>
      <w:r>
        <w:rPr>
          <w:rFonts w:hint="eastAsia"/>
        </w:rPr>
        <w:t>开展港口货物（集装箱/杂货/滚装货物）装卸服务碳足迹量化的总体目的是结合取舍准则（见5.4），通过量化港口货物（集装箱/杂货/滚装货物）装卸服务系统边界内所有显著的温室气体排放量和清除量，计算港口为1吨货物（集装箱、杂货、滚装货物）提供一次装卸服务对全球变暖的潜在贡献，以二氧化碳当量（CO</w:t>
      </w:r>
      <w:r>
        <w:rPr>
          <w:rFonts w:hint="eastAsia"/>
          <w:vertAlign w:val="subscript"/>
        </w:rPr>
        <w:t>2</w:t>
      </w:r>
      <w:r>
        <w:rPr>
          <w:rFonts w:hint="eastAsia"/>
        </w:rPr>
        <w:t>e）表示。</w:t>
      </w:r>
    </w:p>
    <w:p w14:paraId="2768F8EF">
      <w:pPr>
        <w:pStyle w:val="104"/>
        <w:spacing w:before="240" w:after="240"/>
      </w:pPr>
      <w:bookmarkStart w:id="56" w:name="_Toc231215101"/>
      <w:bookmarkStart w:id="57" w:name="_Toc231207629"/>
      <w:r>
        <w:rPr>
          <w:rFonts w:hint="eastAsia"/>
        </w:rPr>
        <w:t>量化范围</w:t>
      </w:r>
      <w:bookmarkEnd w:id="56"/>
      <w:bookmarkEnd w:id="57"/>
    </w:p>
    <w:p w14:paraId="0122B5EE">
      <w:pPr>
        <w:pStyle w:val="105"/>
        <w:spacing w:before="120" w:after="120"/>
      </w:pPr>
      <w:bookmarkStart w:id="58" w:name="_Toc231215102"/>
      <w:bookmarkStart w:id="59" w:name="_Toc231207630"/>
      <w:r>
        <w:rPr>
          <w:rFonts w:hint="eastAsia"/>
        </w:rPr>
        <w:t>功能单位</w:t>
      </w:r>
      <w:bookmarkEnd w:id="58"/>
      <w:bookmarkEnd w:id="59"/>
    </w:p>
    <w:p w14:paraId="2BAA1B6B">
      <w:pPr>
        <w:pStyle w:val="56"/>
        <w:ind w:firstLine="420"/>
      </w:pPr>
      <w:r>
        <w:rPr>
          <w:rFonts w:hint="eastAsia"/>
        </w:rPr>
        <w:t>本文件定义的功能单位为“港口为1吨货物（集装箱、杂货、滚装货物）提供一次装卸服务”。</w:t>
      </w:r>
    </w:p>
    <w:p w14:paraId="37EA94F1">
      <w:pPr>
        <w:pStyle w:val="105"/>
        <w:spacing w:before="120" w:after="120"/>
      </w:pPr>
      <w:bookmarkStart w:id="60" w:name="_Toc231207631"/>
      <w:bookmarkStart w:id="61" w:name="_Toc231215103"/>
      <w:r>
        <w:rPr>
          <w:rFonts w:hint="eastAsia"/>
        </w:rPr>
        <w:t>系统边界</w:t>
      </w:r>
      <w:bookmarkEnd w:id="60"/>
      <w:bookmarkEnd w:id="61"/>
    </w:p>
    <w:p w14:paraId="3D60A1F4">
      <w:pPr>
        <w:pStyle w:val="56"/>
        <w:ind w:firstLine="420"/>
      </w:pPr>
      <w:r>
        <w:rPr>
          <w:rFonts w:hint="eastAsia"/>
        </w:rPr>
        <w:t>港口货物（集装箱/杂货/滚装货物）装卸服务碳足迹量化的系统边界为“从摇篮到大门”，即从原材料获取阶段（包括原辅材料等获取、能源资源获取、原辅材料和能源运输到港口企业等），到生产阶段（包括前沿装卸设备、水平运输设备、堆场装卸写吧、辅助生产设备等的作业，和污染物与废弃物的处理等），如图1所示。量化活动应包括各阶段中有显著贡献的所有温室气体排放量。各阶段应单独核算。</w:t>
      </w:r>
    </w:p>
    <w:p w14:paraId="4B5CE4CA">
      <w:pPr>
        <w:pStyle w:val="56"/>
        <w:ind w:firstLine="420"/>
      </w:pPr>
      <w:r>
        <w:drawing>
          <wp:inline distT="0" distB="0" distL="0" distR="0">
            <wp:extent cx="5273675" cy="2780030"/>
            <wp:effectExtent l="0" t="0" r="3175" b="1270"/>
            <wp:docPr id="15362123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12376"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73675" cy="2780030"/>
                    </a:xfrm>
                    <a:prstGeom prst="rect">
                      <a:avLst/>
                    </a:prstGeom>
                    <a:noFill/>
                  </pic:spPr>
                </pic:pic>
              </a:graphicData>
            </a:graphic>
          </wp:inline>
        </w:drawing>
      </w:r>
    </w:p>
    <w:p w14:paraId="3F31D8DE">
      <w:pPr>
        <w:pStyle w:val="114"/>
        <w:spacing w:before="120" w:after="120"/>
      </w:pPr>
      <w:r>
        <w:rPr>
          <w:rFonts w:hint="eastAsia"/>
        </w:rPr>
        <w:t>港口货物（集装箱/杂货/滚装货物）装卸服务系统边界示意图</w:t>
      </w:r>
    </w:p>
    <w:p w14:paraId="7659A492">
      <w:pPr>
        <w:pStyle w:val="105"/>
        <w:spacing w:before="120" w:after="120"/>
      </w:pPr>
      <w:bookmarkStart w:id="62" w:name="_Toc231207632"/>
      <w:bookmarkStart w:id="63" w:name="_Toc231215104"/>
      <w:r>
        <w:rPr>
          <w:rFonts w:hint="eastAsia"/>
        </w:rPr>
        <w:t>系统边界设置</w:t>
      </w:r>
      <w:bookmarkEnd w:id="62"/>
      <w:bookmarkEnd w:id="63"/>
    </w:p>
    <w:p w14:paraId="680B72C4">
      <w:pPr>
        <w:pStyle w:val="65"/>
        <w:spacing w:before="120" w:after="120"/>
      </w:pPr>
      <w:r>
        <w:rPr>
          <w:rFonts w:hint="eastAsia"/>
        </w:rPr>
        <w:t>原材料获取阶段</w:t>
      </w:r>
    </w:p>
    <w:p w14:paraId="1A3EC19E">
      <w:pPr>
        <w:pStyle w:val="56"/>
        <w:ind w:firstLine="420"/>
      </w:pPr>
      <w:r>
        <w:rPr>
          <w:rFonts w:hint="eastAsia"/>
        </w:rPr>
        <w:t>原材料获取阶段包括港口货物（集装箱/杂货/滚装货物）装卸服务相关的原辅材料和能源的获取、生产和运输等环节，一般包括：</w:t>
      </w:r>
    </w:p>
    <w:p w14:paraId="3923DD90">
      <w:pPr>
        <w:pStyle w:val="132"/>
      </w:pPr>
      <w:r>
        <w:rPr>
          <w:rFonts w:hint="eastAsia"/>
        </w:rPr>
        <w:t>生产环节设备相关耗材的生产与运输过程的碳足迹，包括钢丝绳、托辊套、集电器碳刷、制动摩擦片、轮胎、液压油、润滑油、润滑脂、防冻液、清洗剂、乙炔、丙烷、氧气、氮气、油漆及稀释剂、绑扎材料等；</w:t>
      </w:r>
    </w:p>
    <w:p w14:paraId="3D8BF386">
      <w:pPr>
        <w:pStyle w:val="132"/>
      </w:pPr>
      <w:r>
        <w:rPr>
          <w:rFonts w:hint="eastAsia"/>
        </w:rPr>
        <w:t>能源的开采生产与运输过程的碳足迹，包括柴油、汽油和液化天然气等化石燃料。</w:t>
      </w:r>
    </w:p>
    <w:p w14:paraId="3B2146DD">
      <w:pPr>
        <w:pStyle w:val="65"/>
        <w:spacing w:before="120" w:after="120"/>
      </w:pPr>
      <w:r>
        <w:rPr>
          <w:rFonts w:hint="eastAsia"/>
        </w:rPr>
        <w:t>生产阶段</w:t>
      </w:r>
    </w:p>
    <w:p w14:paraId="749679E6">
      <w:pPr>
        <w:pStyle w:val="56"/>
        <w:ind w:firstLine="420"/>
      </w:pPr>
      <w:r>
        <w:rPr>
          <w:rFonts w:hint="eastAsia"/>
        </w:rPr>
        <w:t>生产阶段包括集装箱/杂货/滚装货物在港口的装卸生产和辅助生产，一般包括：</w:t>
      </w:r>
    </w:p>
    <w:p w14:paraId="2911D392">
      <w:pPr>
        <w:pStyle w:val="132"/>
      </w:pPr>
      <w:r>
        <w:rPr>
          <w:rFonts w:hint="eastAsia"/>
        </w:rPr>
        <w:t>前沿装卸（含滚装车辆绑扎与系固作业）；</w:t>
      </w:r>
    </w:p>
    <w:p w14:paraId="318E51AE">
      <w:pPr>
        <w:pStyle w:val="132"/>
      </w:pPr>
      <w:r>
        <w:rPr>
          <w:rFonts w:hint="eastAsia"/>
        </w:rPr>
        <w:t>水平运输；</w:t>
      </w:r>
    </w:p>
    <w:p w14:paraId="7A455650">
      <w:pPr>
        <w:pStyle w:val="132"/>
      </w:pPr>
      <w:r>
        <w:rPr>
          <w:rFonts w:hint="eastAsia"/>
        </w:rPr>
        <w:t>堆场装卸（含冷藏箱堆存）；</w:t>
      </w:r>
    </w:p>
    <w:p w14:paraId="27EE2669">
      <w:pPr>
        <w:pStyle w:val="132"/>
      </w:pPr>
      <w:r>
        <w:rPr>
          <w:rFonts w:hint="eastAsia"/>
        </w:rPr>
        <w:t>辅助生产过程，包括直接为装卸生产服务的港区作业车辆、港区内自有铁路机车运输、生产调度与控制系统、港区照明、设备维修等辅助设施设备作业过程；</w:t>
      </w:r>
    </w:p>
    <w:p w14:paraId="4506E69B">
      <w:pPr>
        <w:pStyle w:val="132"/>
      </w:pPr>
      <w:r>
        <w:rPr>
          <w:rFonts w:hint="eastAsia"/>
        </w:rPr>
        <w:t>污染物与废弃物的处理，包括污水处理过程、一般固体废弃物和危险废物处置过程和可回收废弃物资源化回收过程，具体为：</w:t>
      </w:r>
    </w:p>
    <w:p w14:paraId="172E0AE8">
      <w:pPr>
        <w:pStyle w:val="187"/>
      </w:pPr>
      <w:r>
        <w:rPr>
          <w:rFonts w:hint="eastAsia"/>
        </w:rPr>
        <w:t>污水处理过程，包括生产废水等；</w:t>
      </w:r>
    </w:p>
    <w:p w14:paraId="234BEA7C">
      <w:pPr>
        <w:pStyle w:val="187"/>
      </w:pPr>
      <w:r>
        <w:rPr>
          <w:rFonts w:hint="eastAsia"/>
        </w:rPr>
        <w:t>一般固体废弃物和危险废物处置过程，包括废电缆、废钢丝绳、废轮胎、废矿物油、废油桶、废电池等；</w:t>
      </w:r>
    </w:p>
    <w:p w14:paraId="79C97673">
      <w:pPr>
        <w:pStyle w:val="187"/>
      </w:pPr>
      <w:r>
        <w:rPr>
          <w:rFonts w:hint="eastAsia"/>
        </w:rPr>
        <w:t>可回收废弃物资源化回收过程，包含废钢丝绳、废轮胎等。</w:t>
      </w:r>
    </w:p>
    <w:p w14:paraId="4BCF72E7">
      <w:pPr>
        <w:pStyle w:val="105"/>
        <w:spacing w:before="120" w:after="120"/>
      </w:pPr>
      <w:bookmarkStart w:id="64" w:name="_Toc231215105"/>
      <w:bookmarkStart w:id="65" w:name="_Toc231207633"/>
      <w:r>
        <w:rPr>
          <w:rFonts w:hint="eastAsia"/>
        </w:rPr>
        <w:t>时间边界</w:t>
      </w:r>
      <w:bookmarkEnd w:id="64"/>
      <w:bookmarkEnd w:id="65"/>
    </w:p>
    <w:p w14:paraId="7077D59E">
      <w:pPr>
        <w:pStyle w:val="56"/>
        <w:ind w:firstLine="420"/>
      </w:pPr>
      <w:r>
        <w:rPr>
          <w:rFonts w:hint="eastAsia"/>
        </w:rPr>
        <w:t>港口宜实时采集温室气体排放源活动数据进行单位装卸服务碳足迹量化，核算期为集装箱在港时间。不具备实时获取温室气体排放源活动数据条件的港口宜选择有代表性的时间段，核算期宜为一年，通过年度活动数据统计，并根据吞吐量进行单位装卸服务碳足迹量化。</w:t>
      </w:r>
    </w:p>
    <w:p w14:paraId="6FFAE2AD">
      <w:pPr>
        <w:pStyle w:val="105"/>
        <w:spacing w:before="120" w:after="120"/>
      </w:pPr>
      <w:bookmarkStart w:id="66" w:name="_Toc231207634"/>
      <w:bookmarkStart w:id="67" w:name="_Toc231215106"/>
      <w:r>
        <w:rPr>
          <w:rFonts w:hint="eastAsia"/>
        </w:rPr>
        <w:t>取舍原则</w:t>
      </w:r>
      <w:bookmarkEnd w:id="66"/>
      <w:bookmarkEnd w:id="67"/>
    </w:p>
    <w:p w14:paraId="1CA6A240">
      <w:pPr>
        <w:pStyle w:val="56"/>
        <w:ind w:firstLine="420"/>
      </w:pPr>
      <w:r>
        <w:rPr>
          <w:rFonts w:hint="eastAsia"/>
        </w:rPr>
        <w:t>在评价目标和范围确定阶段，应确定允许省略次要过程的取舍准则。所选择的取舍准则对评价结果产生的影响应在最终的报告中做出解释。</w:t>
      </w:r>
    </w:p>
    <w:p w14:paraId="068F583C">
      <w:pPr>
        <w:pStyle w:val="56"/>
        <w:ind w:firstLine="420"/>
      </w:pPr>
      <w:r>
        <w:rPr>
          <w:rFonts w:hint="eastAsia"/>
        </w:rPr>
        <w:t>在碳足迹量化过程中，可舍弃港口货物（集装箱/杂货/滚装货物）装卸服务碳足迹影响小于1%的环节，但舍弃环节总的影响不超过碳足迹总量的5%。所有舍弃的物质和环节应在碳足迹核算报告中予以说明。</w:t>
      </w:r>
    </w:p>
    <w:p w14:paraId="4C46DB6A">
      <w:pPr>
        <w:pStyle w:val="104"/>
        <w:spacing w:before="240" w:after="240"/>
      </w:pPr>
      <w:bookmarkStart w:id="68" w:name="_Toc231215107"/>
      <w:bookmarkStart w:id="69" w:name="_Toc231207635"/>
      <w:r>
        <w:rPr>
          <w:rFonts w:hint="eastAsia"/>
        </w:rPr>
        <w:t>清单分析</w:t>
      </w:r>
      <w:bookmarkEnd w:id="68"/>
      <w:bookmarkEnd w:id="69"/>
    </w:p>
    <w:p w14:paraId="283216C4">
      <w:pPr>
        <w:pStyle w:val="105"/>
        <w:spacing w:before="120" w:after="120"/>
      </w:pPr>
      <w:bookmarkStart w:id="70" w:name="_Toc231215108"/>
      <w:bookmarkStart w:id="71" w:name="_Toc231207636"/>
      <w:r>
        <w:rPr>
          <w:rFonts w:hint="eastAsia"/>
        </w:rPr>
        <w:t>数据选择</w:t>
      </w:r>
      <w:bookmarkEnd w:id="70"/>
      <w:bookmarkEnd w:id="71"/>
    </w:p>
    <w:p w14:paraId="46B7B810">
      <w:pPr>
        <w:pStyle w:val="56"/>
        <w:ind w:firstLine="420"/>
      </w:pPr>
      <w:r>
        <w:rPr>
          <w:rFonts w:hint="eastAsia"/>
        </w:rPr>
        <w:t>应收集港口货物（集装箱/杂货/滚装货物）装卸服务系统边界范围内全部单元过程的数据，包括活动数据和排放因子数据。</w:t>
      </w:r>
    </w:p>
    <w:p w14:paraId="4D1C5B53">
      <w:pPr>
        <w:pStyle w:val="56"/>
        <w:ind w:firstLine="420"/>
      </w:pPr>
      <w:r>
        <w:rPr>
          <w:rFonts w:hint="eastAsia"/>
        </w:rPr>
        <w:t>活动数据的来源包括但不限于：热、电计量器具记录，购买记录、台账、结算发票；物料清单、领料清单，委托处置合同，运输方式、运输距离、运输工具等。活动水平数据测量仪表须经法定计量机构检定或校准合格，符合GB 17167-2025中4.3-4.4关于能源计量器具配备率与准确度等级的要求。</w:t>
      </w:r>
    </w:p>
    <w:p w14:paraId="32FFE8F5">
      <w:pPr>
        <w:pStyle w:val="56"/>
        <w:ind w:firstLine="420"/>
      </w:pPr>
      <w:r>
        <w:rPr>
          <w:rFonts w:hint="eastAsia"/>
        </w:rPr>
        <w:t>活动数据的使用遵循以下原则：</w:t>
      </w:r>
    </w:p>
    <w:p w14:paraId="73D280AA">
      <w:pPr>
        <w:pStyle w:val="132"/>
      </w:pPr>
      <w:r>
        <w:rPr>
          <w:rFonts w:hint="eastAsia"/>
        </w:rPr>
        <w:t>优先采用直接计量、统计、检测获得的初级数据；</w:t>
      </w:r>
    </w:p>
    <w:p w14:paraId="6D9F0173">
      <w:pPr>
        <w:pStyle w:val="132"/>
      </w:pPr>
      <w:r>
        <w:rPr>
          <w:rFonts w:hint="eastAsia"/>
        </w:rPr>
        <w:t>其次采用通过初级数据分配、折算获得的数据。</w:t>
      </w:r>
    </w:p>
    <w:p w14:paraId="0807972F">
      <w:pPr>
        <w:pStyle w:val="56"/>
        <w:ind w:firstLine="420"/>
      </w:pPr>
      <w:r>
        <w:rPr>
          <w:rFonts w:hint="eastAsia"/>
        </w:rPr>
        <w:t>排放因子数据包括国家或行业主管部门公开发布的排放因子数据，供应商提供的通过生命周期评价方法且经第三方专业机构验证的产品碳足迹数据，行业协会统计发布的本行业排放因子数据以及其他排放因子库数据库数据等。</w:t>
      </w:r>
    </w:p>
    <w:p w14:paraId="263FAA09">
      <w:pPr>
        <w:pStyle w:val="56"/>
        <w:ind w:firstLine="420"/>
      </w:pPr>
      <w:r>
        <w:rPr>
          <w:rFonts w:hint="eastAsia"/>
        </w:rPr>
        <w:t>排放因子数据的使用遵循以下优先级：</w:t>
      </w:r>
    </w:p>
    <w:p w14:paraId="736AEB71">
      <w:pPr>
        <w:pStyle w:val="132"/>
      </w:pPr>
      <w:r>
        <w:rPr>
          <w:rFonts w:hint="eastAsia"/>
        </w:rPr>
        <w:t>供应商提供的经第三方专业机构验证的、基于生命周期评价方法的产品碳足迹数据；</w:t>
      </w:r>
    </w:p>
    <w:p w14:paraId="67D73586">
      <w:pPr>
        <w:pStyle w:val="132"/>
      </w:pPr>
      <w:r>
        <w:rPr>
          <w:rFonts w:hint="eastAsia"/>
        </w:rPr>
        <w:t>国家或行业主管部门公开发布的排放因子数据；</w:t>
      </w:r>
    </w:p>
    <w:p w14:paraId="774642D9">
      <w:pPr>
        <w:pStyle w:val="132"/>
      </w:pPr>
      <w:r>
        <w:rPr>
          <w:rFonts w:hint="eastAsia"/>
        </w:rPr>
        <w:t>普及度较高、可公开获取且有完整文档记录的区域、国家或国际数据库和行业平均数据。</w:t>
      </w:r>
    </w:p>
    <w:p w14:paraId="1FB6AEA6">
      <w:pPr>
        <w:pStyle w:val="105"/>
        <w:spacing w:before="120" w:after="120"/>
      </w:pPr>
      <w:bookmarkStart w:id="72" w:name="_Toc231207637"/>
      <w:bookmarkStart w:id="73" w:name="_Toc231215109"/>
      <w:r>
        <w:rPr>
          <w:rFonts w:hint="eastAsia"/>
        </w:rPr>
        <w:t>数据收集</w:t>
      </w:r>
      <w:bookmarkEnd w:id="72"/>
      <w:bookmarkEnd w:id="73"/>
    </w:p>
    <w:p w14:paraId="3395476D">
      <w:pPr>
        <w:pStyle w:val="65"/>
        <w:spacing w:before="120" w:after="120"/>
      </w:pPr>
      <w:r>
        <w:rPr>
          <w:rFonts w:hint="eastAsia"/>
        </w:rPr>
        <w:t>原材料获取阶段数据收集</w:t>
      </w:r>
    </w:p>
    <w:p w14:paraId="6FA947DD">
      <w:pPr>
        <w:pStyle w:val="56"/>
        <w:ind w:firstLine="420"/>
      </w:pPr>
      <w:r>
        <w:rPr>
          <w:rFonts w:hint="eastAsia"/>
        </w:rPr>
        <w:t>原材料获取阶段数据收集应包括下列内容：</w:t>
      </w:r>
    </w:p>
    <w:p w14:paraId="4C36DD33">
      <w:pPr>
        <w:pStyle w:val="132"/>
      </w:pPr>
      <w:r>
        <w:rPr>
          <w:rFonts w:hint="eastAsia"/>
        </w:rPr>
        <w:t>港口货物（集装箱/杂货/滚装货物）装卸服务相关的原辅材料的上游采购和运输数据，包括名称、消耗量、产地、运输方式、运输距离等；</w:t>
      </w:r>
    </w:p>
    <w:p w14:paraId="6FD0C75D">
      <w:pPr>
        <w:pStyle w:val="132"/>
      </w:pPr>
      <w:r>
        <w:rPr>
          <w:rFonts w:hint="eastAsia"/>
        </w:rPr>
        <w:t>港口货物（集装箱/杂货/滚装货物）装卸服务相关的能源资源的上游采购和运输数据，包括名称、消耗量、产地、运输方式、运输距离等；</w:t>
      </w:r>
    </w:p>
    <w:p w14:paraId="377D32D2">
      <w:pPr>
        <w:pStyle w:val="132"/>
      </w:pPr>
      <w:r>
        <w:rPr>
          <w:rFonts w:hint="eastAsia"/>
        </w:rPr>
        <w:t>各类原辅材料、能源资源的碳足迹因子；</w:t>
      </w:r>
    </w:p>
    <w:p w14:paraId="060EC0AA">
      <w:pPr>
        <w:pStyle w:val="132"/>
      </w:pPr>
      <w:r>
        <w:rPr>
          <w:rFonts w:hint="eastAsia"/>
        </w:rPr>
        <w:t>各类运输方式的碳足迹因子。</w:t>
      </w:r>
    </w:p>
    <w:p w14:paraId="15364FA8">
      <w:pPr>
        <w:pStyle w:val="65"/>
        <w:spacing w:before="120" w:after="120"/>
      </w:pPr>
      <w:r>
        <w:rPr>
          <w:rFonts w:hint="eastAsia"/>
        </w:rPr>
        <w:t>生产阶段数据收集</w:t>
      </w:r>
    </w:p>
    <w:p w14:paraId="351F69B2">
      <w:pPr>
        <w:pStyle w:val="56"/>
        <w:ind w:firstLine="420"/>
      </w:pPr>
      <w:r>
        <w:rPr>
          <w:rFonts w:hint="eastAsia"/>
        </w:rPr>
        <w:t>生产阶段数据收集应包括下列内容：</w:t>
      </w:r>
    </w:p>
    <w:p w14:paraId="11269806">
      <w:pPr>
        <w:pStyle w:val="132"/>
      </w:pPr>
      <w:r>
        <w:rPr>
          <w:rFonts w:hint="eastAsia"/>
        </w:rPr>
        <w:t>生产阶段化石燃料的消耗量；</w:t>
      </w:r>
    </w:p>
    <w:p w14:paraId="10A2E72A">
      <w:pPr>
        <w:pStyle w:val="132"/>
      </w:pPr>
      <w:r>
        <w:rPr>
          <w:rFonts w:hint="eastAsia"/>
        </w:rPr>
        <w:t>化石燃料的燃烧排放因子；</w:t>
      </w:r>
    </w:p>
    <w:p w14:paraId="548AE696">
      <w:pPr>
        <w:pStyle w:val="132"/>
      </w:pPr>
      <w:r>
        <w:rPr>
          <w:rFonts w:hint="eastAsia"/>
        </w:rPr>
        <w:t>生产阶段电力的消耗量，电力类型与来源；</w:t>
      </w:r>
    </w:p>
    <w:p w14:paraId="6FBCE866">
      <w:pPr>
        <w:pStyle w:val="132"/>
      </w:pPr>
      <w:r>
        <w:rPr>
          <w:rFonts w:hint="eastAsia"/>
        </w:rPr>
        <w:t>各类电力的碳足迹因子；</w:t>
      </w:r>
    </w:p>
    <w:p w14:paraId="3D2C7E13">
      <w:pPr>
        <w:pStyle w:val="132"/>
      </w:pPr>
      <w:r>
        <w:rPr>
          <w:rFonts w:hint="eastAsia"/>
        </w:rPr>
        <w:t>生产阶段热力的消耗量；</w:t>
      </w:r>
    </w:p>
    <w:p w14:paraId="6EED83D4">
      <w:pPr>
        <w:pStyle w:val="132"/>
      </w:pPr>
      <w:r>
        <w:rPr>
          <w:rFonts w:hint="eastAsia"/>
        </w:rPr>
        <w:t>热力的碳排放因子；</w:t>
      </w:r>
    </w:p>
    <w:p w14:paraId="28E74F8F">
      <w:pPr>
        <w:pStyle w:val="132"/>
      </w:pPr>
      <w:r>
        <w:rPr>
          <w:rFonts w:hint="eastAsia"/>
        </w:rPr>
        <w:t>冷藏箱存储过程中的冷媒消耗量；</w:t>
      </w:r>
    </w:p>
    <w:p w14:paraId="4CE3D805">
      <w:pPr>
        <w:pStyle w:val="132"/>
      </w:pPr>
      <w:r>
        <w:rPr>
          <w:rFonts w:hint="eastAsia"/>
        </w:rPr>
        <w:t>灭火系统逸散排放的活动数据为二氧化碳灭火器充装量、灭火系统七氟丙烷（HFC-227ea）等逸散源填充量，可通过铭牌或填充记录等方式获取；</w:t>
      </w:r>
    </w:p>
    <w:p w14:paraId="5BE3250F">
      <w:pPr>
        <w:pStyle w:val="132"/>
      </w:pPr>
      <w:r>
        <w:rPr>
          <w:rFonts w:hint="eastAsia"/>
        </w:rPr>
        <w:t>生产废水的处理量、厌氧处理进口与出口化学需氧量（COD）；</w:t>
      </w:r>
    </w:p>
    <w:p w14:paraId="02A4B0BB">
      <w:pPr>
        <w:pStyle w:val="132"/>
      </w:pPr>
      <w:r>
        <w:rPr>
          <w:rFonts w:hint="eastAsia"/>
        </w:rPr>
        <w:t>一般固体废弃物和危险废弃物的处置量、可回收废弃物数据。</w:t>
      </w:r>
    </w:p>
    <w:p w14:paraId="6D26B47B">
      <w:pPr>
        <w:pStyle w:val="105"/>
        <w:spacing w:before="120" w:after="120"/>
      </w:pPr>
      <w:bookmarkStart w:id="74" w:name="_Toc231215110"/>
      <w:bookmarkStart w:id="75" w:name="_Toc231207638"/>
      <w:r>
        <w:rPr>
          <w:rFonts w:hint="eastAsia"/>
        </w:rPr>
        <w:t>数据分配</w:t>
      </w:r>
      <w:bookmarkEnd w:id="74"/>
      <w:bookmarkEnd w:id="75"/>
    </w:p>
    <w:p w14:paraId="50CA9E08">
      <w:pPr>
        <w:pStyle w:val="65"/>
        <w:spacing w:before="120" w:after="120"/>
      </w:pPr>
      <w:r>
        <w:rPr>
          <w:rFonts w:hint="eastAsia"/>
        </w:rPr>
        <w:t>分配原则</w:t>
      </w:r>
    </w:p>
    <w:p w14:paraId="1D5768E1">
      <w:pPr>
        <w:pStyle w:val="56"/>
        <w:ind w:firstLine="420"/>
      </w:pPr>
      <w:r>
        <w:rPr>
          <w:rFonts w:hint="eastAsia"/>
        </w:rPr>
        <w:t>应依据GB/T 24067—2024中6.4.6进行分配。</w:t>
      </w:r>
    </w:p>
    <w:p w14:paraId="293FAEB3">
      <w:pPr>
        <w:pStyle w:val="56"/>
        <w:ind w:firstLine="420"/>
      </w:pPr>
      <w:r>
        <w:rPr>
          <w:rFonts w:hint="eastAsia"/>
        </w:rPr>
        <w:t>宜根据明确规定和说明的分配程序将输入输出分配到不同的批次服务中。一个单元过程分配的输入和输出的总和应与其分配前的输入输出相等。当同时有几种备选的分配程序时，可进行敏感性分析，说明偏离所选分配程序所带来的影响。</w:t>
      </w:r>
    </w:p>
    <w:p w14:paraId="0E4CCFB0">
      <w:pPr>
        <w:pStyle w:val="65"/>
        <w:spacing w:before="120" w:after="120"/>
      </w:pPr>
      <w:r>
        <w:rPr>
          <w:rFonts w:hint="eastAsia"/>
        </w:rPr>
        <w:t>分配程序</w:t>
      </w:r>
    </w:p>
    <w:p w14:paraId="628E4691">
      <w:pPr>
        <w:pStyle w:val="56"/>
        <w:ind w:firstLine="420"/>
      </w:pPr>
      <w:r>
        <w:rPr>
          <w:rFonts w:hint="eastAsia"/>
        </w:rPr>
        <w:t>应尽可能地避免分配。如果不可避免，则港口根据与服务相关的基本物理关系分配排放量。当无法单独建立物理关系或将其作为分配的基础时，港口可根据服务的经济价值等其他因素来选择分配程序。</w:t>
      </w:r>
    </w:p>
    <w:p w14:paraId="07361C72">
      <w:pPr>
        <w:pStyle w:val="132"/>
      </w:pPr>
      <w:r>
        <w:rPr>
          <w:rFonts w:hint="eastAsia"/>
        </w:rPr>
        <w:t>对同时服务多批次对象的同一单元过程（如同一装卸过程或作业设备），应采用该单元过程的服务对象的产量（如货物重量）进行分配；</w:t>
      </w:r>
    </w:p>
    <w:p w14:paraId="41EDE6E1">
      <w:pPr>
        <w:pStyle w:val="132"/>
      </w:pPr>
      <w:r>
        <w:rPr>
          <w:rFonts w:hint="eastAsia"/>
        </w:rPr>
        <w:t>对公共设施能源消耗产生的温室气体排放，在划分单元过程的时候应确保各单元过程输入能源和资源可计量。如不可单独计量，则应根据该单元过程服务对象的产量占全部服务对象总产量的比例进行分配；</w:t>
      </w:r>
    </w:p>
    <w:p w14:paraId="64EA940C">
      <w:pPr>
        <w:pStyle w:val="132"/>
      </w:pPr>
      <w:r>
        <w:rPr>
          <w:rFonts w:hint="eastAsia"/>
        </w:rPr>
        <w:t>对废水和废弃物处理过程（包括委外处理）的温室气体排放，应根据该单元过程服务对象产量占全部服务对象总产量的比例进行分配。</w:t>
      </w:r>
    </w:p>
    <w:p w14:paraId="404AF619">
      <w:pPr>
        <w:pStyle w:val="105"/>
        <w:spacing w:before="120" w:after="120"/>
      </w:pPr>
      <w:bookmarkStart w:id="76" w:name="_Toc231207639"/>
      <w:bookmarkStart w:id="77" w:name="_Toc231215111"/>
      <w:r>
        <w:rPr>
          <w:rFonts w:hint="eastAsia"/>
        </w:rPr>
        <w:t>数据质量评价</w:t>
      </w:r>
      <w:bookmarkEnd w:id="76"/>
      <w:bookmarkEnd w:id="77"/>
    </w:p>
    <w:p w14:paraId="0747AA80">
      <w:pPr>
        <w:pStyle w:val="56"/>
        <w:ind w:firstLine="420"/>
      </w:pPr>
      <w:r>
        <w:rPr>
          <w:rFonts w:hint="eastAsia"/>
        </w:rPr>
        <w:t>量化港口货物（集装箱/杂货/滚装货物）装卸服务碳足迹时应使用数据可靠性、时间代表性、地理代表性和技术代表性4个评价指标评价数据质量，其中数据可靠性和时间代表性用于评价活动数据，技术代表性、地理代表性和时间代表性用于评价碳足迹因子。评价方法课参考附录D。</w:t>
      </w:r>
    </w:p>
    <w:p w14:paraId="669A0FFA">
      <w:pPr>
        <w:pStyle w:val="104"/>
        <w:spacing w:before="240" w:after="240"/>
      </w:pPr>
      <w:bookmarkStart w:id="78" w:name="_Toc231207640"/>
      <w:bookmarkStart w:id="79" w:name="_Toc231215112"/>
      <w:r>
        <w:rPr>
          <w:rFonts w:hint="eastAsia"/>
        </w:rPr>
        <w:t>影响评价</w:t>
      </w:r>
      <w:bookmarkEnd w:id="78"/>
      <w:bookmarkEnd w:id="79"/>
    </w:p>
    <w:p w14:paraId="660584C6">
      <w:pPr>
        <w:pStyle w:val="105"/>
        <w:spacing w:before="120" w:after="120"/>
      </w:pPr>
      <w:bookmarkStart w:id="80" w:name="_Toc231215113"/>
      <w:bookmarkStart w:id="81" w:name="_Toc231207641"/>
      <w:r>
        <w:rPr>
          <w:rFonts w:hint="eastAsia"/>
        </w:rPr>
        <w:t>港口货物（集装箱/杂货/滚装货物）装卸服务碳足迹计算</w:t>
      </w:r>
      <w:bookmarkEnd w:id="80"/>
      <w:bookmarkEnd w:id="81"/>
    </w:p>
    <w:p w14:paraId="6D1ED9B4">
      <w:pPr>
        <w:pStyle w:val="56"/>
        <w:ind w:firstLine="420"/>
      </w:pPr>
      <w:r>
        <w:rPr>
          <w:rFonts w:hint="eastAsia"/>
        </w:rPr>
        <w:t>港口货物（集装箱/杂货/滚装货物）装卸服务碳足迹为功能单位边界内各阶段碳足迹之和，按公式（1）进行计算，计算结果四舍五入至小数点后两位。</w:t>
      </w:r>
    </w:p>
    <w:p w14:paraId="100174B6">
      <w:pPr>
        <w:pStyle w:val="113"/>
        <w:rPr>
          <w:rFonts w:hint="eastAsia"/>
        </w:rPr>
      </w:pPr>
      <w:r>
        <w:rPr>
          <w:rFonts w:hint="eastAsia"/>
        </w:rPr>
        <w:tab/>
      </w:r>
      <m:oMath>
        <m:r>
          <m:rPr/>
          <w:rPr>
            <w:rFonts w:ascii="Cambria Math" w:hAnsi="Cambria Math"/>
          </w:rPr>
          <m:t>CFP=</m:t>
        </m:r>
        <m:sSub>
          <m:sSubPr>
            <m:ctrlPr>
              <w:rPr>
                <w:rFonts w:ascii="Cambria Math" w:hAnsi="Cambria Math"/>
                <w:i/>
              </w:rPr>
            </m:ctrlPr>
          </m:sSubPr>
          <m:e>
            <m:r>
              <m:rPr/>
              <w:rPr>
                <w:rFonts w:ascii="Cambria Math" w:hAnsi="Cambria Math"/>
              </w:rPr>
              <m:t>(CFP</m:t>
            </m:r>
            <m:ctrlPr>
              <w:rPr>
                <w:rFonts w:ascii="Cambria Math" w:hAnsi="Cambria Math"/>
                <w:i/>
              </w:rPr>
            </m:ctrlPr>
          </m:e>
          <m:sub>
            <m:r>
              <m:rPr/>
              <w:rPr>
                <w:rFonts w:ascii="Cambria Math" w:hAnsi="Cambria Math"/>
              </w:rPr>
              <m:t>A</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CFP</m:t>
            </m:r>
            <m:ctrlPr>
              <w:rPr>
                <w:rFonts w:ascii="Cambria Math" w:hAnsi="Cambria Math"/>
                <w:i/>
              </w:rPr>
            </m:ctrlPr>
          </m:e>
          <m:sub>
            <m:r>
              <m:rPr/>
              <w:rPr>
                <w:rFonts w:ascii="Cambria Math" w:hAnsi="Cambria Math"/>
              </w:rPr>
              <m:t>B</m:t>
            </m:r>
            <m:ctrlPr>
              <w:rPr>
                <w:rFonts w:ascii="Cambria Math" w:hAnsi="Cambria Math"/>
                <w:i/>
              </w:rPr>
            </m:ctrlPr>
          </m:sub>
        </m:sSub>
        <m:r>
          <m:rPr/>
          <w:rPr>
            <w:rFonts w:ascii="Cambria Math" w:hAnsi="Cambria Math"/>
          </w:rPr>
          <m:t>)/Q</m:t>
        </m:r>
      </m:oMath>
      <w:r>
        <w:rPr>
          <w:rFonts w:hint="eastAsia" w:ascii="微软雅黑" w:hAnsi="微软雅黑" w:eastAsia="微软雅黑"/>
        </w:rPr>
        <w:tab/>
      </w:r>
      <w:r>
        <w:t>(</w:t>
      </w:r>
      <w:r>
        <w:fldChar w:fldCharType="begin"/>
      </w:r>
      <w:r>
        <w:instrText xml:space="preserve"> AUTONUM </w:instrText>
      </w:r>
      <w:r>
        <w:fldChar w:fldCharType="end"/>
      </w:r>
      <w:r>
        <w:t>)</w:t>
      </w:r>
    </w:p>
    <w:p w14:paraId="63AF1757">
      <w:pPr>
        <w:pStyle w:val="55"/>
        <w:ind w:firstLine="420"/>
      </w:pPr>
      <w:r>
        <w:rPr>
          <w:rFonts w:hint="eastAsia"/>
        </w:rPr>
        <w:t>式中：</w:t>
      </w:r>
    </w:p>
    <w:p w14:paraId="49CF70F5">
      <w:pPr>
        <w:pStyle w:val="56"/>
        <w:tabs>
          <w:tab w:val="left" w:pos="1134"/>
          <w:tab w:val="left" w:pos="1560"/>
        </w:tabs>
        <w:ind w:left="1575" w:leftChars="200" w:hanging="1155" w:hangingChars="550"/>
      </w:pPr>
      <w:r>
        <w:rPr>
          <w:rFonts w:hint="eastAsia"/>
        </w:rPr>
        <w:t>CFP</w:t>
      </w:r>
      <w:r>
        <w:tab/>
      </w:r>
      <w:r>
        <w:rPr>
          <w:rFonts w:hint="eastAsia"/>
        </w:rPr>
        <w:t>——港口货物（集装箱/杂货/滚装货物）装卸服务碳足迹，单位为千克二氧化碳当量每功能单位（kgCO</w:t>
      </w:r>
      <w:r>
        <w:rPr>
          <w:rFonts w:hint="eastAsia"/>
          <w:vertAlign w:val="subscript"/>
        </w:rPr>
        <w:t>2</w:t>
      </w:r>
      <w:r>
        <w:rPr>
          <w:rFonts w:hint="eastAsia"/>
        </w:rPr>
        <w:t>e/功能单位）；</w:t>
      </w:r>
    </w:p>
    <w:p w14:paraId="4B286A92">
      <w:pPr>
        <w:pStyle w:val="56"/>
        <w:tabs>
          <w:tab w:val="left" w:pos="1134"/>
        </w:tabs>
        <w:ind w:left="1575" w:leftChars="200" w:hanging="1155" w:hangingChars="550"/>
      </w:pPr>
      <w:r>
        <w:rPr>
          <w:rFonts w:hint="eastAsia"/>
        </w:rPr>
        <w:t>CFP</w:t>
      </w:r>
      <w:r>
        <w:rPr>
          <w:rFonts w:hint="eastAsia"/>
          <w:vertAlign w:val="subscript"/>
        </w:rPr>
        <w:t>A</w:t>
      </w:r>
      <w:r>
        <w:rPr>
          <w:vertAlign w:val="subscript"/>
        </w:rPr>
        <w:tab/>
      </w:r>
      <w:r>
        <w:rPr>
          <w:rFonts w:hint="eastAsia"/>
        </w:rPr>
        <w:t>——该批次港口货物（集装箱/杂货/滚装货物）装卸服务原材料获取阶段温室气体排放总量，单位为千克二氧化碳当量（kgCO</w:t>
      </w:r>
      <w:r>
        <w:rPr>
          <w:rFonts w:hint="eastAsia"/>
          <w:vertAlign w:val="subscript"/>
        </w:rPr>
        <w:t>2</w:t>
      </w:r>
      <w:r>
        <w:rPr>
          <w:rFonts w:hint="eastAsia"/>
        </w:rPr>
        <w:t>e）；</w:t>
      </w:r>
    </w:p>
    <w:p w14:paraId="29DC99A0">
      <w:pPr>
        <w:pStyle w:val="56"/>
        <w:tabs>
          <w:tab w:val="left" w:pos="1134"/>
          <w:tab w:val="left" w:pos="1560"/>
        </w:tabs>
        <w:ind w:left="1575" w:leftChars="200" w:hanging="1155" w:hangingChars="550"/>
      </w:pPr>
      <w:r>
        <w:rPr>
          <w:rFonts w:hint="eastAsia"/>
        </w:rPr>
        <w:t>CFP</w:t>
      </w:r>
      <w:r>
        <w:rPr>
          <w:rFonts w:hint="eastAsia"/>
          <w:vertAlign w:val="subscript"/>
        </w:rPr>
        <w:t>B</w:t>
      </w:r>
      <w:r>
        <w:rPr>
          <w:vertAlign w:val="subscript"/>
        </w:rPr>
        <w:tab/>
      </w:r>
      <w:r>
        <w:rPr>
          <w:rFonts w:hint="eastAsia"/>
        </w:rPr>
        <w:t>——该批次港口货物（集装箱/杂货/滚装货物）装卸服务生产阶段温室气体排放总量，单位为千克二氧化碳当量（kgCO</w:t>
      </w:r>
      <w:r>
        <w:rPr>
          <w:rFonts w:hint="eastAsia"/>
          <w:vertAlign w:val="subscript"/>
        </w:rPr>
        <w:t>2</w:t>
      </w:r>
      <w:r>
        <w:rPr>
          <w:rFonts w:hint="eastAsia"/>
        </w:rPr>
        <w:t>e）；</w:t>
      </w:r>
    </w:p>
    <w:p w14:paraId="695161E3">
      <w:pPr>
        <w:pStyle w:val="56"/>
        <w:tabs>
          <w:tab w:val="left" w:pos="1134"/>
          <w:tab w:val="left" w:pos="1560"/>
        </w:tabs>
        <w:ind w:left="1260" w:leftChars="200" w:hanging="840" w:hangingChars="400"/>
      </w:pPr>
      <w:r>
        <w:rPr>
          <w:rFonts w:hint="eastAsia"/>
        </w:rPr>
        <w:t>Q</w:t>
      </w:r>
      <w:r>
        <w:tab/>
      </w:r>
      <w:r>
        <w:rPr>
          <w:rFonts w:hint="eastAsia"/>
        </w:rPr>
        <w:t>——该批次服务的集装箱/杂货/滚装货物的吞吐量，单位为吨（t）。</w:t>
      </w:r>
    </w:p>
    <w:p w14:paraId="3A7B90CF">
      <w:pPr>
        <w:pStyle w:val="105"/>
        <w:spacing w:before="120" w:after="120"/>
      </w:pPr>
      <w:bookmarkStart w:id="82" w:name="_Toc231207642"/>
      <w:bookmarkStart w:id="83" w:name="_Toc231215114"/>
      <w:r>
        <w:rPr>
          <w:rFonts w:hint="eastAsia"/>
        </w:rPr>
        <w:t>原材料获取阶段的温室气体排放</w:t>
      </w:r>
      <w:bookmarkEnd w:id="82"/>
      <w:bookmarkEnd w:id="83"/>
    </w:p>
    <w:p w14:paraId="0ECB13D1">
      <w:pPr>
        <w:pStyle w:val="65"/>
        <w:spacing w:before="120" w:after="120"/>
      </w:pPr>
      <w:r>
        <w:rPr>
          <w:rFonts w:hint="eastAsia"/>
        </w:rPr>
        <w:t>原材料温室气体排放总量</w:t>
      </w:r>
    </w:p>
    <w:p w14:paraId="161406AE">
      <w:pPr>
        <w:pStyle w:val="56"/>
        <w:ind w:firstLine="420"/>
      </w:pPr>
      <w:r>
        <w:rPr>
          <w:rFonts w:hint="eastAsia"/>
        </w:rPr>
        <w:t>原材料获取阶段碳足迹按公式（2）计算。</w:t>
      </w:r>
    </w:p>
    <w:p w14:paraId="64ADB496">
      <w:pPr>
        <w:pStyle w:val="113"/>
        <w:rPr>
          <w:rFonts w:hint="eastAsia"/>
        </w:rPr>
      </w:pPr>
      <w:r>
        <w:rPr>
          <w:rFonts w:hint="eastAsia"/>
        </w:rPr>
        <w:tab/>
      </w:r>
      <m:oMath>
        <m:sSub>
          <m:sSubPr>
            <m:ctrlPr>
              <w:rPr>
                <w:rFonts w:ascii="Cambria Math" w:hAnsi="Cambria Math"/>
                <w:i/>
              </w:rPr>
            </m:ctrlPr>
          </m:sSubPr>
          <m:e>
            <m:r>
              <m:rPr/>
              <w:rPr>
                <w:rFonts w:ascii="Cambria Math" w:hAnsi="Cambria Math"/>
              </w:rPr>
              <m:t>CFP</m:t>
            </m:r>
            <m:ctrlPr>
              <w:rPr>
                <w:rFonts w:ascii="Cambria Math" w:hAnsi="Cambria Math"/>
                <w:i/>
              </w:rPr>
            </m:ctrlPr>
          </m:e>
          <m:sub>
            <m:r>
              <m:rPr/>
              <w:rPr>
                <w:rFonts w:ascii="Cambria Math" w:hAnsi="Cambria Math"/>
              </w:rPr>
              <m:t>A</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CFP</m:t>
            </m:r>
            <m:ctrlPr>
              <w:rPr>
                <w:rFonts w:ascii="Cambria Math" w:hAnsi="Cambria Math"/>
                <w:i/>
              </w:rPr>
            </m:ctrlPr>
          </m:e>
          <m:sub>
            <m:r>
              <m:rPr/>
              <w:rPr>
                <w:rFonts w:ascii="Cambria Math" w:hAnsi="Cambria Math"/>
              </w:rPr>
              <m:t>A1</m:t>
            </m:r>
            <m:ctrlPr>
              <w:rPr>
                <w:rFonts w:ascii="Cambria Math" w:hAnsi="Cambria Math"/>
                <w:i/>
              </w:rPr>
            </m:ctrlPr>
          </m:sub>
        </m:sSub>
        <m:r>
          <m:rPr/>
          <w:rPr>
            <w:rFonts w:ascii="Cambria Math" w:hAnsi="Cambria Math" w:cs="Cambria Math"/>
          </w:rPr>
          <m:t>+</m:t>
        </m:r>
        <m:sSub>
          <m:sSubPr>
            <m:ctrlPr>
              <w:rPr>
                <w:rFonts w:ascii="Cambria Math" w:hAnsi="Cambria Math" w:cs="Cambria Math"/>
                <w:i/>
              </w:rPr>
            </m:ctrlPr>
          </m:sSubPr>
          <m:e>
            <m:r>
              <m:rPr/>
              <w:rPr>
                <w:rFonts w:ascii="Cambria Math" w:hAnsi="Cambria Math" w:cs="Cambria Math"/>
              </w:rPr>
              <m:t>CFP</m:t>
            </m:r>
            <m:ctrlPr>
              <w:rPr>
                <w:rFonts w:ascii="Cambria Math" w:hAnsi="Cambria Math" w:cs="Cambria Math"/>
                <w:i/>
              </w:rPr>
            </m:ctrlPr>
          </m:e>
          <m:sub>
            <m:r>
              <m:rPr/>
              <w:rPr>
                <w:rFonts w:ascii="Cambria Math" w:hAnsi="Cambria Math" w:cs="Cambria Math"/>
              </w:rPr>
              <m:t>A2</m:t>
            </m:r>
            <m:ctrlPr>
              <w:rPr>
                <w:rFonts w:ascii="Cambria Math" w:hAnsi="Cambria Math" w:cs="Cambria Math"/>
                <w:i/>
              </w:rPr>
            </m:ctrlPr>
          </m:sub>
        </m:sSub>
      </m:oMath>
      <w:r>
        <w:rPr>
          <w:rFonts w:hint="eastAsia" w:ascii="微软雅黑" w:hAnsi="微软雅黑" w:eastAsia="微软雅黑"/>
        </w:rPr>
        <w:tab/>
      </w:r>
      <w:r>
        <w:t>(</w:t>
      </w:r>
      <w:r>
        <w:fldChar w:fldCharType="begin"/>
      </w:r>
      <w:r>
        <w:instrText xml:space="preserve"> AUTONUM </w:instrText>
      </w:r>
      <w:r>
        <w:fldChar w:fldCharType="end"/>
      </w:r>
      <w:r>
        <w:t>)</w:t>
      </w:r>
    </w:p>
    <w:p w14:paraId="17B7CBE7">
      <w:pPr>
        <w:pStyle w:val="55"/>
        <w:ind w:firstLine="420"/>
      </w:pPr>
      <w:r>
        <w:rPr>
          <w:rFonts w:hint="eastAsia"/>
        </w:rPr>
        <w:t>式中：</w:t>
      </w:r>
    </w:p>
    <w:p w14:paraId="5D02D7A8">
      <w:pPr>
        <w:pStyle w:val="56"/>
        <w:tabs>
          <w:tab w:val="left" w:pos="1134"/>
        </w:tabs>
        <w:ind w:left="1575" w:leftChars="200" w:hanging="1155" w:hangingChars="550"/>
      </w:pPr>
      <w:r>
        <w:rPr>
          <w:rFonts w:hint="eastAsia"/>
        </w:rPr>
        <w:t>CFP</w:t>
      </w:r>
      <w:r>
        <w:rPr>
          <w:rFonts w:hint="eastAsia"/>
          <w:vertAlign w:val="subscript"/>
        </w:rPr>
        <w:t>A1</w:t>
      </w:r>
      <w:r>
        <w:tab/>
      </w:r>
      <w:r>
        <w:rPr>
          <w:rFonts w:hint="eastAsia"/>
        </w:rPr>
        <w:t>——原辅材料获取和生产产生的温室气体排放量，单位为千克二氧化碳当量（kgCO</w:t>
      </w:r>
      <w:r>
        <w:rPr>
          <w:rFonts w:hint="eastAsia"/>
          <w:vertAlign w:val="subscript"/>
        </w:rPr>
        <w:t>2</w:t>
      </w:r>
      <w:r>
        <w:rPr>
          <w:rFonts w:hint="eastAsia"/>
        </w:rPr>
        <w:t>e）；</w:t>
      </w:r>
    </w:p>
    <w:p w14:paraId="70699B68">
      <w:pPr>
        <w:pStyle w:val="56"/>
        <w:tabs>
          <w:tab w:val="left" w:pos="1134"/>
        </w:tabs>
        <w:ind w:left="1575" w:leftChars="200" w:hanging="1155" w:hangingChars="550"/>
      </w:pPr>
      <w:r>
        <w:rPr>
          <w:rFonts w:hint="eastAsia"/>
        </w:rPr>
        <w:t>CFP</w:t>
      </w:r>
      <w:r>
        <w:rPr>
          <w:rFonts w:hint="eastAsia"/>
          <w:vertAlign w:val="subscript"/>
        </w:rPr>
        <w:t>A1</w:t>
      </w:r>
      <w:r>
        <w:tab/>
      </w:r>
      <w:r>
        <w:rPr>
          <w:rFonts w:hint="eastAsia"/>
        </w:rPr>
        <w:t>——原辅材料运输产生的温室气体排放量，单位为千克二氧化碳当量（kgCO</w:t>
      </w:r>
      <w:r>
        <w:rPr>
          <w:rFonts w:hint="eastAsia"/>
          <w:vertAlign w:val="subscript"/>
        </w:rPr>
        <w:t>2</w:t>
      </w:r>
      <w:r>
        <w:rPr>
          <w:rFonts w:hint="eastAsia"/>
        </w:rPr>
        <w:t>e）。</w:t>
      </w:r>
    </w:p>
    <w:p w14:paraId="68F5B440">
      <w:pPr>
        <w:pStyle w:val="65"/>
        <w:spacing w:before="120" w:after="120"/>
      </w:pPr>
      <w:r>
        <w:rPr>
          <w:rFonts w:hint="eastAsia"/>
        </w:rPr>
        <w:t>原辅材料获取的温室气体排放计算</w:t>
      </w:r>
    </w:p>
    <w:p w14:paraId="73F19507">
      <w:pPr>
        <w:pStyle w:val="56"/>
        <w:ind w:firstLine="420"/>
      </w:pPr>
      <w:r>
        <w:rPr>
          <w:rFonts w:hint="eastAsia"/>
        </w:rPr>
        <w:t>原辅材料获取的温室气体排放量按公式（3）计算，计算结果四舍五入至小数点后两位。</w:t>
      </w:r>
    </w:p>
    <w:p w14:paraId="226C9216">
      <w:pPr>
        <w:pStyle w:val="113"/>
        <w:rPr>
          <w:rFonts w:hint="eastAsia"/>
        </w:rPr>
      </w:pPr>
      <w:r>
        <w:rPr>
          <w:rFonts w:hint="eastAsia"/>
        </w:rPr>
        <w:tab/>
      </w:r>
      <m:oMath>
        <m:sSub>
          <m:sSubPr>
            <m:ctrlPr>
              <w:rPr>
                <w:rFonts w:ascii="Cambria Math" w:hAnsi="Cambria Math"/>
                <w:i/>
              </w:rPr>
            </m:ctrlPr>
          </m:sSubPr>
          <m:e>
            <m:r>
              <m:rPr/>
              <w:rPr>
                <w:rFonts w:ascii="Cambria Math" w:hAnsi="Cambria Math"/>
              </w:rPr>
              <m:t>CFP</m:t>
            </m:r>
            <m:ctrlPr>
              <w:rPr>
                <w:rFonts w:ascii="Cambria Math" w:hAnsi="Cambria Math"/>
                <w:i/>
              </w:rPr>
            </m:ctrlPr>
          </m:e>
          <m:sub>
            <m:r>
              <m:rPr/>
              <w:rPr>
                <w:rFonts w:ascii="Cambria Math" w:hAnsi="Cambria Math"/>
              </w:rPr>
              <m:t>A1</m:t>
            </m:r>
            <m:ctrlPr>
              <w:rPr>
                <w:rFonts w:ascii="Cambria Math" w:hAnsi="Cambria Math"/>
                <w:i/>
              </w:rPr>
            </m:ctrlPr>
          </m:sub>
        </m:sSub>
        <m:r>
          <m:rPr/>
          <w:rPr>
            <w:rFonts w:ascii="Cambria Math" w:hAnsi="Cambria Math"/>
          </w:rPr>
          <m:t>=</m:t>
        </m:r>
        <m:nary>
          <m:naryPr>
            <m:chr m:val="∑"/>
            <m:limLoc m:val="subSup"/>
            <m:supHide m:val="1"/>
            <m:ctrlPr>
              <w:rPr>
                <w:rFonts w:ascii="Cambria Math" w:hAnsi="Cambria Math"/>
                <w:i/>
              </w:rPr>
            </m:ctrlPr>
          </m:naryPr>
          <m:sub>
            <m:r>
              <m:rPr/>
              <w:rPr>
                <w:rFonts w:ascii="Cambria Math" w:hAnsi="Cambria Math"/>
              </w:rPr>
              <m:t>i</m:t>
            </m:r>
            <m:ctrlPr>
              <w:rPr>
                <w:rFonts w:ascii="Cambria Math" w:hAnsi="Cambria Math"/>
                <w:i/>
              </w:rPr>
            </m:ctrlPr>
          </m:sub>
          <m:sup>
            <m:ctrlPr>
              <w:rPr>
                <w:rFonts w:ascii="Cambria Math" w:hAnsi="Cambria Math"/>
                <w:i/>
              </w:rPr>
            </m:ctrlPr>
          </m:sup>
          <m:e>
            <m:r>
              <m:rPr/>
              <w:rPr>
                <w:rFonts w:ascii="Cambria Math" w:hAnsi="Cambria Math"/>
              </w:rPr>
              <m:t>(</m:t>
            </m:r>
            <m:sSub>
              <m:sSubPr>
                <m:ctrlPr>
                  <w:rPr>
                    <w:rFonts w:ascii="Cambria Math" w:hAnsi="Cambria Math"/>
                    <w:i/>
                  </w:rPr>
                </m:ctrlPr>
              </m:sSubPr>
              <m:e>
                <m:r>
                  <m:rPr/>
                  <w:rPr>
                    <w:rFonts w:ascii="Cambria Math" w:hAnsi="Cambria Math"/>
                  </w:rPr>
                  <m:t>AD</m:t>
                </m:r>
                <m:ctrlPr>
                  <w:rPr>
                    <w:rFonts w:ascii="Cambria Math" w:hAnsi="Cambria Math"/>
                    <w:i/>
                  </w:rPr>
                </m:ctrlPr>
              </m:e>
              <m:sub>
                <m:r>
                  <m:rPr/>
                  <w:rPr>
                    <w:rFonts w:ascii="Cambria Math" w:hAnsi="Cambria Math"/>
                  </w:rPr>
                  <m:t>A1,i</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A1,i</m:t>
                </m:r>
                <m:ctrlPr>
                  <w:rPr>
                    <w:rFonts w:ascii="Cambria Math" w:hAnsi="Cambria Math"/>
                    <w:i/>
                  </w:rPr>
                </m:ctrlPr>
              </m:sub>
            </m:sSub>
            <m:r>
              <m:rPr/>
              <w:rPr>
                <w:rFonts w:ascii="Cambria Math" w:hAnsi="Cambria Math"/>
              </w:rPr>
              <m:t>)</m:t>
            </m:r>
            <m:ctrlPr>
              <w:rPr>
                <w:rFonts w:ascii="Cambria Math" w:hAnsi="Cambria Math"/>
                <w:i/>
              </w:rPr>
            </m:ctrlPr>
          </m:e>
        </m:nary>
      </m:oMath>
      <w:r>
        <w:rPr>
          <w:rFonts w:hint="eastAsia" w:ascii="微软雅黑" w:hAnsi="微软雅黑" w:eastAsia="微软雅黑"/>
        </w:rPr>
        <w:tab/>
      </w:r>
      <w:r>
        <w:t>(</w:t>
      </w:r>
      <w:r>
        <w:fldChar w:fldCharType="begin"/>
      </w:r>
      <w:r>
        <w:instrText xml:space="preserve"> AUTONUM </w:instrText>
      </w:r>
      <w:r>
        <w:fldChar w:fldCharType="end"/>
      </w:r>
      <w:r>
        <w:t>)</w:t>
      </w:r>
    </w:p>
    <w:p w14:paraId="4931F928">
      <w:pPr>
        <w:pStyle w:val="55"/>
        <w:ind w:firstLine="420"/>
      </w:pPr>
      <w:r>
        <w:rPr>
          <w:rFonts w:hint="eastAsia"/>
        </w:rPr>
        <w:t>式中：</w:t>
      </w:r>
    </w:p>
    <w:p w14:paraId="37AA8A8B">
      <w:pPr>
        <w:pStyle w:val="56"/>
        <w:tabs>
          <w:tab w:val="left" w:pos="1134"/>
          <w:tab w:val="left" w:pos="1560"/>
        </w:tabs>
        <w:ind w:left="1575" w:leftChars="200" w:hanging="1155" w:hangingChars="550"/>
      </w:pPr>
      <w:r>
        <w:rPr>
          <w:rFonts w:hint="eastAsia"/>
        </w:rPr>
        <w:t>AD</w:t>
      </w:r>
      <w:r>
        <w:rPr>
          <w:rFonts w:hint="eastAsia"/>
          <w:vertAlign w:val="subscript"/>
        </w:rPr>
        <w:t>A1, i</w:t>
      </w:r>
      <w:r>
        <w:tab/>
      </w:r>
      <w:r>
        <w:rPr>
          <w:rFonts w:hint="eastAsia"/>
        </w:rPr>
        <w:t>——第i种原辅料的消耗数据，对固体或液体燃料单位为千克（kg），对气体燃料单位为标立方米（Nm</w:t>
      </w:r>
      <w:r>
        <w:rPr>
          <w:rFonts w:hint="eastAsia"/>
          <w:vertAlign w:val="superscript"/>
        </w:rPr>
        <w:t>3</w:t>
      </w:r>
      <w:r>
        <w:rPr>
          <w:rFonts w:hint="eastAsia"/>
        </w:rPr>
        <w:t>）；</w:t>
      </w:r>
    </w:p>
    <w:p w14:paraId="2491BE6E">
      <w:pPr>
        <w:pStyle w:val="56"/>
        <w:tabs>
          <w:tab w:val="left" w:pos="1134"/>
        </w:tabs>
        <w:ind w:left="1575" w:leftChars="200" w:hanging="1155" w:hangingChars="550"/>
      </w:pPr>
      <w:r>
        <w:rPr>
          <w:rFonts w:hint="eastAsia"/>
        </w:rPr>
        <w:t>EF</w:t>
      </w:r>
      <w:r>
        <w:rPr>
          <w:rFonts w:hint="eastAsia"/>
          <w:vertAlign w:val="subscript"/>
        </w:rPr>
        <w:t>A1, i</w:t>
      </w:r>
      <w:r>
        <w:rPr>
          <w:vertAlign w:val="subscript"/>
        </w:rPr>
        <w:tab/>
      </w:r>
      <w:r>
        <w:rPr>
          <w:rFonts w:hint="eastAsia"/>
        </w:rPr>
        <w:t>——第i种原辅料对应的碳足迹因子，对固体或液体燃料单位为千克二氧化碳当量每千克（kgCO</w:t>
      </w:r>
      <w:r>
        <w:rPr>
          <w:rFonts w:hint="eastAsia"/>
          <w:vertAlign w:val="subscript"/>
        </w:rPr>
        <w:t>2</w:t>
      </w:r>
      <w:r>
        <w:rPr>
          <w:rFonts w:hint="eastAsia"/>
        </w:rPr>
        <w:t>e/kg），对气体燃料单位为千克二氧化碳当量每标立方米（kgCO</w:t>
      </w:r>
      <w:r>
        <w:rPr>
          <w:rFonts w:hint="eastAsia"/>
          <w:vertAlign w:val="subscript"/>
        </w:rPr>
        <w:t>2</w:t>
      </w:r>
      <w:r>
        <w:rPr>
          <w:rFonts w:hint="eastAsia"/>
        </w:rPr>
        <w:t>e/Nm</w:t>
      </w:r>
      <w:r>
        <w:rPr>
          <w:rFonts w:hint="eastAsia"/>
          <w:vertAlign w:val="superscript"/>
        </w:rPr>
        <w:t>3</w:t>
      </w:r>
      <w:r>
        <w:rPr>
          <w:rFonts w:hint="eastAsia"/>
        </w:rPr>
        <w:t>）。</w:t>
      </w:r>
    </w:p>
    <w:p w14:paraId="45825EAF">
      <w:pPr>
        <w:pStyle w:val="65"/>
        <w:spacing w:before="120" w:after="120"/>
      </w:pPr>
      <w:r>
        <w:rPr>
          <w:rFonts w:hint="eastAsia"/>
        </w:rPr>
        <w:t>原辅材料运输的温室气体排放计算</w:t>
      </w:r>
    </w:p>
    <w:p w14:paraId="7C816B82">
      <w:pPr>
        <w:pStyle w:val="56"/>
        <w:ind w:firstLine="420"/>
      </w:pPr>
      <w:r>
        <w:rPr>
          <w:rFonts w:hint="eastAsia"/>
        </w:rPr>
        <w:t>原辅材料的运输按公式（4）计算，计算结果四舍五入至小数点后两位。</w:t>
      </w:r>
    </w:p>
    <w:p w14:paraId="38C1C4F5">
      <w:pPr>
        <w:pStyle w:val="113"/>
        <w:rPr>
          <w:rFonts w:hint="eastAsia"/>
        </w:rPr>
      </w:pPr>
      <w:r>
        <w:rPr>
          <w:rFonts w:hint="eastAsia"/>
        </w:rPr>
        <w:tab/>
      </w:r>
      <m:oMath>
        <m:sSub>
          <m:sSubPr>
            <m:ctrlPr>
              <w:rPr>
                <w:rFonts w:ascii="Cambria Math" w:hAnsi="Cambria Math"/>
                <w:i/>
              </w:rPr>
            </m:ctrlPr>
          </m:sSubPr>
          <m:e>
            <m:r>
              <m:rPr/>
              <w:rPr>
                <w:rFonts w:ascii="Cambria Math" w:hAnsi="Cambria Math"/>
              </w:rPr>
              <m:t>CFP</m:t>
            </m:r>
            <m:ctrlPr>
              <w:rPr>
                <w:rFonts w:ascii="Cambria Math" w:hAnsi="Cambria Math"/>
                <w:i/>
              </w:rPr>
            </m:ctrlPr>
          </m:e>
          <m:sub>
            <m:r>
              <m:rPr/>
              <w:rPr>
                <w:rFonts w:ascii="Cambria Math" w:hAnsi="Cambria Math"/>
              </w:rPr>
              <m:t>A2</m:t>
            </m:r>
            <m:ctrlPr>
              <w:rPr>
                <w:rFonts w:ascii="Cambria Math" w:hAnsi="Cambria Math"/>
                <w:i/>
              </w:rPr>
            </m:ctrlPr>
          </m:sub>
        </m:sSub>
        <m:r>
          <m:rPr/>
          <w:rPr>
            <w:rFonts w:ascii="Cambria Math" w:hAnsi="Cambria Math"/>
          </w:rPr>
          <m:t>=</m:t>
        </m:r>
        <m:nary>
          <m:naryPr>
            <m:chr m:val="∑"/>
            <m:limLoc m:val="subSup"/>
            <m:supHide m:val="1"/>
            <m:ctrlPr>
              <w:rPr>
                <w:rFonts w:ascii="Cambria Math" w:hAnsi="Cambria Math"/>
                <w:i/>
              </w:rPr>
            </m:ctrlPr>
          </m:naryPr>
          <m:sub>
            <m:r>
              <m:rPr/>
              <w:rPr>
                <w:rFonts w:ascii="Cambria Math" w:hAnsi="Cambria Math"/>
              </w:rPr>
              <m:t>i</m:t>
            </m:r>
            <m:ctrlPr>
              <w:rPr>
                <w:rFonts w:ascii="Cambria Math" w:hAnsi="Cambria Math"/>
                <w:i/>
              </w:rPr>
            </m:ctrlPr>
          </m:sub>
          <m:sup>
            <m:ctrlPr>
              <w:rPr>
                <w:rFonts w:ascii="Cambria Math" w:hAnsi="Cambria Math"/>
                <w:i/>
              </w:rPr>
            </m:ctrlPr>
          </m:sup>
          <m:e>
            <m:r>
              <m:rPr/>
              <w:rPr>
                <w:rFonts w:ascii="Cambria Math" w:hAnsi="Cambria Math"/>
              </w:rPr>
              <m:t>(</m:t>
            </m:r>
            <m:sSub>
              <m:sSubPr>
                <m:ctrlPr>
                  <w:rPr>
                    <w:rFonts w:ascii="Cambria Math" w:hAnsi="Cambria Math"/>
                    <w:i/>
                  </w:rPr>
                </m:ctrlPr>
              </m:sSubPr>
              <m:e>
                <m:r>
                  <m:rPr/>
                  <w:rPr>
                    <w:rFonts w:ascii="Cambria Math" w:hAnsi="Cambria Math"/>
                  </w:rPr>
                  <m:t>AD</m:t>
                </m:r>
                <m:ctrlPr>
                  <w:rPr>
                    <w:rFonts w:ascii="Cambria Math" w:hAnsi="Cambria Math"/>
                    <w:i/>
                  </w:rPr>
                </m:ctrlPr>
              </m:e>
              <m:sub>
                <m:r>
                  <m:rPr/>
                  <w:rPr>
                    <w:rFonts w:ascii="Cambria Math" w:hAnsi="Cambria Math"/>
                  </w:rPr>
                  <m:t>A2,i</m:t>
                </m:r>
                <m:ctrlPr>
                  <w:rPr>
                    <w:rFonts w:ascii="Cambria Math" w:hAnsi="Cambria Math"/>
                    <w:i/>
                  </w:rPr>
                </m:ctrlPr>
              </m:sub>
            </m:sSub>
            <m:sSub>
              <m:sSubPr>
                <m:ctrlPr>
                  <w:rPr>
                    <w:rFonts w:ascii="Cambria Math" w:hAnsi="Cambria Math"/>
                    <w:i/>
                  </w:rPr>
                </m:ctrlPr>
              </m:sSubPr>
              <m:e>
                <m:r>
                  <m:rPr/>
                  <w:rPr>
                    <w:rFonts w:ascii="Cambria Math" w:hAnsi="Cambria Math"/>
                  </w:rPr>
                  <m:t>×D</m:t>
                </m:r>
                <m:ctrlPr>
                  <w:rPr>
                    <w:rFonts w:ascii="Cambria Math" w:hAnsi="Cambria Math"/>
                    <w:i/>
                  </w:rPr>
                </m:ctrlPr>
              </m:e>
              <m:sub>
                <m:r>
                  <m:rPr/>
                  <w:rPr>
                    <w:rFonts w:ascii="Cambria Math" w:hAnsi="Cambria Math"/>
                  </w:rPr>
                  <m:t>A2,i,j</m:t>
                </m:r>
                <m:ctrlPr>
                  <w:rPr>
                    <w:rFonts w:ascii="Cambria Math" w:hAnsi="Cambria Math"/>
                    <w:i/>
                  </w:rPr>
                </m:ctrlPr>
              </m:sub>
            </m:sSub>
            <m:sSub>
              <m:sSubPr>
                <m:ctrlPr>
                  <w:rPr>
                    <w:rFonts w:ascii="Cambria Math" w:hAnsi="Cambria Math"/>
                    <w:i/>
                  </w:rPr>
                </m:ctrlPr>
              </m:sSubPr>
              <m:e>
                <m:r>
                  <m:rPr/>
                  <w:rPr>
                    <w:rFonts w:ascii="Cambria Math" w:hAnsi="Cambria Math"/>
                  </w:rPr>
                  <m:t>×TEF</m:t>
                </m:r>
                <m:ctrlPr>
                  <w:rPr>
                    <w:rFonts w:ascii="Cambria Math" w:hAnsi="Cambria Math"/>
                    <w:i/>
                  </w:rPr>
                </m:ctrlPr>
              </m:e>
              <m:sub>
                <m:r>
                  <m:rPr/>
                  <w:rPr>
                    <w:rFonts w:ascii="Cambria Math" w:hAnsi="Cambria Math"/>
                  </w:rPr>
                  <m:t>A2,j</m:t>
                </m:r>
                <m:ctrlPr>
                  <w:rPr>
                    <w:rFonts w:ascii="Cambria Math" w:hAnsi="Cambria Math"/>
                    <w:i/>
                  </w:rPr>
                </m:ctrlPr>
              </m:sub>
            </m:sSub>
            <m:r>
              <m:rPr/>
              <w:rPr>
                <w:rFonts w:ascii="Cambria Math" w:hAnsi="Cambria Math"/>
              </w:rPr>
              <m:t>)</m:t>
            </m:r>
            <m:ctrlPr>
              <w:rPr>
                <w:rFonts w:ascii="Cambria Math" w:hAnsi="Cambria Math"/>
                <w:i/>
              </w:rPr>
            </m:ctrlPr>
          </m:e>
        </m:nary>
      </m:oMath>
      <w:r>
        <w:rPr>
          <w:rFonts w:hint="eastAsia" w:ascii="微软雅黑" w:hAnsi="微软雅黑" w:eastAsia="微软雅黑"/>
        </w:rPr>
        <w:tab/>
      </w:r>
      <w:r>
        <w:t>(</w:t>
      </w:r>
      <w:r>
        <w:fldChar w:fldCharType="begin"/>
      </w:r>
      <w:r>
        <w:instrText xml:space="preserve"> AUTONUM </w:instrText>
      </w:r>
      <w:r>
        <w:fldChar w:fldCharType="end"/>
      </w:r>
      <w:r>
        <w:t>)</w:t>
      </w:r>
    </w:p>
    <w:p w14:paraId="6789A860">
      <w:pPr>
        <w:pStyle w:val="55"/>
        <w:ind w:firstLine="420"/>
      </w:pPr>
      <w:r>
        <w:rPr>
          <w:rFonts w:hint="eastAsia"/>
        </w:rPr>
        <w:t>式中：</w:t>
      </w:r>
    </w:p>
    <w:p w14:paraId="2F51B9BB">
      <w:pPr>
        <w:pStyle w:val="56"/>
        <w:tabs>
          <w:tab w:val="left" w:pos="1134"/>
        </w:tabs>
        <w:ind w:left="1575" w:leftChars="200" w:hanging="1155" w:hangingChars="550"/>
      </w:pPr>
      <w:r>
        <w:rPr>
          <w:rFonts w:hint="eastAsia"/>
        </w:rPr>
        <w:t>AD</w:t>
      </w:r>
      <w:r>
        <w:rPr>
          <w:rFonts w:hint="eastAsia"/>
          <w:vertAlign w:val="subscript"/>
        </w:rPr>
        <w:t>A2, i</w:t>
      </w:r>
      <w:r>
        <w:rPr>
          <w:vertAlign w:val="subscript"/>
        </w:rPr>
        <w:tab/>
      </w:r>
      <w:r>
        <w:rPr>
          <w:rFonts w:hint="eastAsia"/>
        </w:rPr>
        <w:t>——第i种原辅料的运输数据，按原辅材料的包装重量计，单位为吨（t），对气体燃料单位为标立方米（Nm</w:t>
      </w:r>
      <w:r>
        <w:rPr>
          <w:rFonts w:hint="eastAsia"/>
          <w:vertAlign w:val="superscript"/>
        </w:rPr>
        <w:t>3</w:t>
      </w:r>
      <w:r>
        <w:rPr>
          <w:rFonts w:hint="eastAsia"/>
        </w:rPr>
        <w:t>）；</w:t>
      </w:r>
    </w:p>
    <w:p w14:paraId="1C431666">
      <w:pPr>
        <w:pStyle w:val="56"/>
        <w:tabs>
          <w:tab w:val="left" w:pos="1134"/>
        </w:tabs>
        <w:ind w:left="1575" w:leftChars="200" w:hanging="1155" w:hangingChars="550"/>
      </w:pPr>
      <w:r>
        <w:rPr>
          <w:rFonts w:hint="eastAsia"/>
        </w:rPr>
        <w:t>D</w:t>
      </w:r>
      <w:r>
        <w:rPr>
          <w:rFonts w:hint="eastAsia"/>
          <w:vertAlign w:val="subscript"/>
        </w:rPr>
        <w:t>A2, i, j</w:t>
      </w:r>
      <w:r>
        <w:rPr>
          <w:vertAlign w:val="subscript"/>
        </w:rPr>
        <w:tab/>
      </w:r>
      <w:r>
        <w:rPr>
          <w:rFonts w:hint="eastAsia"/>
        </w:rPr>
        <w:t>——第i中原辅料的第j类运输方式的运输距离，单位为千米（km）；</w:t>
      </w:r>
    </w:p>
    <w:p w14:paraId="4862804C">
      <w:pPr>
        <w:pStyle w:val="56"/>
        <w:tabs>
          <w:tab w:val="left" w:pos="1134"/>
        </w:tabs>
        <w:ind w:left="1575" w:leftChars="200" w:hanging="1155" w:hangingChars="550"/>
      </w:pPr>
      <w:r>
        <w:rPr>
          <w:rFonts w:hint="eastAsia"/>
        </w:rPr>
        <w:t>TEF</w:t>
      </w:r>
      <w:r>
        <w:rPr>
          <w:rFonts w:hint="eastAsia"/>
          <w:vertAlign w:val="subscript"/>
        </w:rPr>
        <w:t>A2, j</w:t>
      </w:r>
      <w:r>
        <w:rPr>
          <w:vertAlign w:val="subscript"/>
        </w:rPr>
        <w:tab/>
      </w:r>
      <w:r>
        <w:rPr>
          <w:rFonts w:hint="eastAsia"/>
        </w:rPr>
        <w:t>——第j类运输方式对应的碳足迹因子，单位为千克二氧化碳当量每吨千米[kgCO</w:t>
      </w:r>
      <w:r>
        <w:rPr>
          <w:rFonts w:hint="eastAsia"/>
          <w:vertAlign w:val="subscript"/>
        </w:rPr>
        <w:t>2</w:t>
      </w:r>
      <w:r>
        <w:rPr>
          <w:rFonts w:hint="eastAsia"/>
        </w:rPr>
        <w:t>e/(t</w:t>
      </w:r>
      <w:r>
        <w:rPr>
          <w:rFonts w:hint="eastAsia" w:ascii="宋体" w:hAnsi="宋体"/>
        </w:rPr>
        <w:t>•</w:t>
      </w:r>
      <w:r>
        <w:rPr>
          <w:rFonts w:hint="eastAsia"/>
        </w:rPr>
        <w:t>km)]。</w:t>
      </w:r>
    </w:p>
    <w:p w14:paraId="2FB5265D">
      <w:pPr>
        <w:pStyle w:val="105"/>
        <w:spacing w:before="120" w:after="120"/>
      </w:pPr>
      <w:bookmarkStart w:id="84" w:name="_Toc231207643"/>
      <w:bookmarkStart w:id="85" w:name="_Toc231215115"/>
      <w:r>
        <w:rPr>
          <w:rFonts w:hint="eastAsia"/>
        </w:rPr>
        <w:t>生产阶段的温室气体排放</w:t>
      </w:r>
      <w:bookmarkEnd w:id="84"/>
      <w:bookmarkEnd w:id="85"/>
    </w:p>
    <w:p w14:paraId="11CF0C69">
      <w:pPr>
        <w:pStyle w:val="65"/>
        <w:spacing w:before="120" w:after="120"/>
      </w:pPr>
      <w:r>
        <w:rPr>
          <w:rFonts w:hint="eastAsia"/>
        </w:rPr>
        <w:t>生产阶段温室气体排放总量</w:t>
      </w:r>
    </w:p>
    <w:p w14:paraId="037956D6">
      <w:pPr>
        <w:pStyle w:val="56"/>
        <w:ind w:firstLine="420"/>
      </w:pPr>
      <w:r>
        <w:rPr>
          <w:rFonts w:hint="eastAsia"/>
        </w:rPr>
        <w:t>生产阶段碳足迹包括化石燃料、电力、热力、逸散等产生的温室气体排放量，按公式（5）计算。</w:t>
      </w:r>
    </w:p>
    <w:p w14:paraId="6517B7B5">
      <w:pPr>
        <w:pStyle w:val="113"/>
        <w:rPr>
          <w:rFonts w:hint="eastAsia"/>
        </w:rPr>
      </w:pPr>
      <w:r>
        <w:rPr>
          <w:rFonts w:hint="eastAsia"/>
        </w:rPr>
        <w:tab/>
      </w:r>
      <m:oMath>
        <m:sSub>
          <m:sSubPr>
            <m:ctrlPr>
              <w:rPr>
                <w:rFonts w:ascii="Cambria Math" w:hAnsi="Cambria Math"/>
                <w:i/>
              </w:rPr>
            </m:ctrlPr>
          </m:sSubPr>
          <m:e>
            <m:r>
              <m:rPr/>
              <w:rPr>
                <w:rFonts w:ascii="Cambria Math" w:hAnsi="Cambria Math"/>
              </w:rPr>
              <m:t>CFP</m:t>
            </m:r>
            <m:ctrlPr>
              <w:rPr>
                <w:rFonts w:ascii="Cambria Math" w:hAnsi="Cambria Math"/>
                <w:i/>
              </w:rPr>
            </m:ctrlPr>
          </m:e>
          <m:sub>
            <m:r>
              <m:rPr/>
              <w:rPr>
                <w:rFonts w:ascii="Cambria Math" w:hAnsi="Cambria Math"/>
              </w:rPr>
              <m:t>B</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CFP</m:t>
            </m:r>
            <m:ctrlPr>
              <w:rPr>
                <w:rFonts w:ascii="Cambria Math" w:hAnsi="Cambria Math"/>
                <w:i/>
              </w:rPr>
            </m:ctrlPr>
          </m:e>
          <m:sub>
            <m:r>
              <m:rPr/>
              <w:rPr>
                <w:rFonts w:ascii="Cambria Math" w:hAnsi="Cambria Math"/>
              </w:rPr>
              <m:t>B1</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CFP</m:t>
            </m:r>
            <m:ctrlPr>
              <w:rPr>
                <w:rFonts w:ascii="Cambria Math" w:hAnsi="Cambria Math"/>
                <w:i/>
              </w:rPr>
            </m:ctrlPr>
          </m:e>
          <m:sub>
            <m:r>
              <m:rPr/>
              <w:rPr>
                <w:rFonts w:ascii="Cambria Math" w:hAnsi="Cambria Math"/>
              </w:rPr>
              <m:t>B2</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CFP</m:t>
            </m:r>
            <m:ctrlPr>
              <w:rPr>
                <w:rFonts w:ascii="Cambria Math" w:hAnsi="Cambria Math"/>
                <w:i/>
              </w:rPr>
            </m:ctrlPr>
          </m:e>
          <m:sub>
            <m:r>
              <m:rPr/>
              <w:rPr>
                <w:rFonts w:ascii="Cambria Math" w:hAnsi="Cambria Math"/>
              </w:rPr>
              <m:t>B3</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CFP</m:t>
            </m:r>
            <m:ctrlPr>
              <w:rPr>
                <w:rFonts w:ascii="Cambria Math" w:hAnsi="Cambria Math"/>
                <w:i/>
              </w:rPr>
            </m:ctrlPr>
          </m:e>
          <m:sub>
            <m:r>
              <m:rPr/>
              <w:rPr>
                <w:rFonts w:ascii="Cambria Math" w:hAnsi="Cambria Math"/>
              </w:rPr>
              <m:t>B4</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CFP</m:t>
            </m:r>
            <m:ctrlPr>
              <w:rPr>
                <w:rFonts w:ascii="Cambria Math" w:hAnsi="Cambria Math"/>
                <w:i/>
              </w:rPr>
            </m:ctrlPr>
          </m:e>
          <m:sub>
            <m:r>
              <m:rPr/>
              <w:rPr>
                <w:rFonts w:ascii="Cambria Math" w:hAnsi="Cambria Math"/>
              </w:rPr>
              <m:t>B5</m:t>
            </m:r>
            <m:ctrlPr>
              <w:rPr>
                <w:rFonts w:ascii="Cambria Math" w:hAnsi="Cambria Math"/>
                <w:i/>
              </w:rPr>
            </m:ctrlPr>
          </m:sub>
        </m:sSub>
      </m:oMath>
      <w:r>
        <w:rPr>
          <w:rFonts w:hint="eastAsia" w:ascii="微软雅黑" w:hAnsi="微软雅黑" w:eastAsia="微软雅黑"/>
        </w:rPr>
        <w:tab/>
      </w:r>
      <w:r>
        <w:t>(</w:t>
      </w:r>
      <w:r>
        <w:fldChar w:fldCharType="begin"/>
      </w:r>
      <w:r>
        <w:instrText xml:space="preserve"> AUTONUM </w:instrText>
      </w:r>
      <w:r>
        <w:fldChar w:fldCharType="end"/>
      </w:r>
      <w:r>
        <w:t>)</w:t>
      </w:r>
    </w:p>
    <w:p w14:paraId="07D14931">
      <w:pPr>
        <w:pStyle w:val="55"/>
        <w:ind w:firstLine="420"/>
      </w:pPr>
      <w:r>
        <w:rPr>
          <w:rFonts w:hint="eastAsia"/>
        </w:rPr>
        <w:t>式中：</w:t>
      </w:r>
    </w:p>
    <w:p w14:paraId="1C63E0F3">
      <w:pPr>
        <w:pStyle w:val="56"/>
        <w:tabs>
          <w:tab w:val="left" w:pos="1134"/>
        </w:tabs>
        <w:ind w:left="1575" w:leftChars="200" w:hanging="1155" w:hangingChars="550"/>
      </w:pPr>
      <w:r>
        <w:rPr>
          <w:rFonts w:hint="eastAsia"/>
        </w:rPr>
        <w:t>CFP</w:t>
      </w:r>
      <w:r>
        <w:rPr>
          <w:rFonts w:hint="eastAsia"/>
          <w:vertAlign w:val="subscript"/>
        </w:rPr>
        <w:t>B1</w:t>
      </w:r>
      <w:r>
        <w:rPr>
          <w:vertAlign w:val="subscript"/>
        </w:rPr>
        <w:tab/>
      </w:r>
      <w:r>
        <w:rPr>
          <w:rFonts w:hint="eastAsia"/>
        </w:rPr>
        <w:t>——使用化石燃料产生的温室气体排放量，单位为千克二氧化碳当量（kgCO</w:t>
      </w:r>
      <w:r>
        <w:rPr>
          <w:rFonts w:hint="eastAsia"/>
          <w:vertAlign w:val="subscript"/>
        </w:rPr>
        <w:t>2</w:t>
      </w:r>
      <w:r>
        <w:rPr>
          <w:rFonts w:hint="eastAsia"/>
        </w:rPr>
        <w:t>e）；</w:t>
      </w:r>
      <w:r>
        <w:t xml:space="preserve"> </w:t>
      </w:r>
    </w:p>
    <w:p w14:paraId="3EB3574D">
      <w:pPr>
        <w:pStyle w:val="56"/>
        <w:tabs>
          <w:tab w:val="left" w:pos="1134"/>
        </w:tabs>
        <w:ind w:left="1575" w:leftChars="200" w:hanging="1155" w:hangingChars="550"/>
      </w:pPr>
      <w:r>
        <w:rPr>
          <w:rFonts w:hint="eastAsia"/>
        </w:rPr>
        <w:t>CFP</w:t>
      </w:r>
      <w:r>
        <w:rPr>
          <w:rFonts w:hint="eastAsia"/>
          <w:vertAlign w:val="subscript"/>
        </w:rPr>
        <w:t>B2</w:t>
      </w:r>
      <w:r>
        <w:rPr>
          <w:vertAlign w:val="subscript"/>
        </w:rPr>
        <w:tab/>
      </w:r>
      <w:r>
        <w:rPr>
          <w:rFonts w:hint="eastAsia"/>
        </w:rPr>
        <w:t>——使用电力产生的温室气体排放量，单位为千克二氧化碳当量（kgCO</w:t>
      </w:r>
      <w:r>
        <w:rPr>
          <w:rFonts w:hint="eastAsia"/>
          <w:vertAlign w:val="subscript"/>
        </w:rPr>
        <w:t>2</w:t>
      </w:r>
      <w:r>
        <w:rPr>
          <w:rFonts w:hint="eastAsia"/>
        </w:rPr>
        <w:t>e）；</w:t>
      </w:r>
      <w:r>
        <w:t xml:space="preserve"> </w:t>
      </w:r>
    </w:p>
    <w:p w14:paraId="218F1CDC">
      <w:pPr>
        <w:pStyle w:val="56"/>
        <w:tabs>
          <w:tab w:val="left" w:pos="1134"/>
        </w:tabs>
        <w:ind w:left="1575" w:leftChars="200" w:hanging="1155" w:hangingChars="550"/>
      </w:pPr>
      <w:r>
        <w:rPr>
          <w:rFonts w:hint="eastAsia"/>
        </w:rPr>
        <w:t>CFP</w:t>
      </w:r>
      <w:r>
        <w:rPr>
          <w:rFonts w:hint="eastAsia"/>
          <w:vertAlign w:val="subscript"/>
        </w:rPr>
        <w:t>B3</w:t>
      </w:r>
      <w:r>
        <w:rPr>
          <w:vertAlign w:val="subscript"/>
        </w:rPr>
        <w:tab/>
      </w:r>
      <w:r>
        <w:rPr>
          <w:rFonts w:hint="eastAsia"/>
        </w:rPr>
        <w:t>——使用热力产生的温室气体排放量，单位为千克二氧化碳当量（kgCO</w:t>
      </w:r>
      <w:r>
        <w:rPr>
          <w:rFonts w:hint="eastAsia"/>
          <w:vertAlign w:val="subscript"/>
        </w:rPr>
        <w:t>2</w:t>
      </w:r>
      <w:r>
        <w:rPr>
          <w:rFonts w:hint="eastAsia"/>
        </w:rPr>
        <w:t>e）；</w:t>
      </w:r>
      <w:r>
        <w:t xml:space="preserve"> </w:t>
      </w:r>
    </w:p>
    <w:p w14:paraId="29AC73C2">
      <w:pPr>
        <w:pStyle w:val="56"/>
        <w:tabs>
          <w:tab w:val="left" w:pos="1134"/>
        </w:tabs>
        <w:ind w:left="1575" w:leftChars="200" w:hanging="1155" w:hangingChars="550"/>
      </w:pPr>
      <w:r>
        <w:rPr>
          <w:rFonts w:hint="eastAsia"/>
        </w:rPr>
        <w:t>CFP</w:t>
      </w:r>
      <w:r>
        <w:rPr>
          <w:rFonts w:hint="eastAsia"/>
          <w:vertAlign w:val="subscript"/>
        </w:rPr>
        <w:t>B4</w:t>
      </w:r>
      <w:r>
        <w:rPr>
          <w:vertAlign w:val="subscript"/>
        </w:rPr>
        <w:tab/>
      </w:r>
      <w:r>
        <w:rPr>
          <w:rFonts w:hint="eastAsia"/>
        </w:rPr>
        <w:t>——逸散源产生的温室气体排放量，单位为千克二氧化碳当量（kgCO</w:t>
      </w:r>
      <w:r>
        <w:rPr>
          <w:rFonts w:hint="eastAsia"/>
          <w:vertAlign w:val="subscript"/>
        </w:rPr>
        <w:t>2</w:t>
      </w:r>
      <w:r>
        <w:rPr>
          <w:rFonts w:hint="eastAsia"/>
        </w:rPr>
        <w:t>e）；</w:t>
      </w:r>
      <w:r>
        <w:t xml:space="preserve"> </w:t>
      </w:r>
    </w:p>
    <w:p w14:paraId="6EABA038">
      <w:pPr>
        <w:pStyle w:val="56"/>
        <w:tabs>
          <w:tab w:val="left" w:pos="1134"/>
        </w:tabs>
        <w:ind w:left="1575" w:leftChars="200" w:hanging="1155" w:hangingChars="550"/>
      </w:pPr>
      <w:r>
        <w:rPr>
          <w:rFonts w:hint="eastAsia"/>
        </w:rPr>
        <w:t>CFP</w:t>
      </w:r>
      <w:r>
        <w:rPr>
          <w:rFonts w:hint="eastAsia"/>
          <w:vertAlign w:val="subscript"/>
        </w:rPr>
        <w:t>B5</w:t>
      </w:r>
      <w:r>
        <w:rPr>
          <w:vertAlign w:val="subscript"/>
        </w:rPr>
        <w:tab/>
      </w:r>
      <w:r>
        <w:rPr>
          <w:rFonts w:hint="eastAsia"/>
        </w:rPr>
        <w:t>——废弃物处理产生的温室气体排放量，单位为千克二氧化碳当量（kgCO</w:t>
      </w:r>
      <w:r>
        <w:rPr>
          <w:rFonts w:hint="eastAsia"/>
          <w:vertAlign w:val="subscript"/>
        </w:rPr>
        <w:t>2</w:t>
      </w:r>
      <w:r>
        <w:rPr>
          <w:rFonts w:hint="eastAsia"/>
        </w:rPr>
        <w:t>e）。</w:t>
      </w:r>
      <w:r>
        <w:t xml:space="preserve"> </w:t>
      </w:r>
    </w:p>
    <w:p w14:paraId="7B87525C">
      <w:pPr>
        <w:pStyle w:val="65"/>
        <w:spacing w:before="120" w:after="120"/>
      </w:pPr>
      <w:r>
        <w:rPr>
          <w:rFonts w:hint="eastAsia"/>
        </w:rPr>
        <w:t>消耗燃料产生的温室气体排放计算</w:t>
      </w:r>
    </w:p>
    <w:p w14:paraId="04952D3A">
      <w:pPr>
        <w:pStyle w:val="56"/>
        <w:ind w:firstLine="420"/>
      </w:pPr>
      <w:r>
        <w:rPr>
          <w:rFonts w:hint="eastAsia"/>
        </w:rPr>
        <w:t>消耗化石燃料产生的温室气体是指各种化石燃料燃烧产生的温室气体之和，按公式（6）计算。</w:t>
      </w:r>
    </w:p>
    <w:p w14:paraId="1F23B50E">
      <w:pPr>
        <w:pStyle w:val="113"/>
        <w:rPr>
          <w:rFonts w:hint="eastAsia"/>
        </w:rPr>
      </w:pPr>
      <w:r>
        <w:rPr>
          <w:rFonts w:hint="eastAsia"/>
        </w:rPr>
        <w:tab/>
      </w:r>
      <m:oMath>
        <m:sSub>
          <m:sSubPr>
            <m:ctrlPr>
              <w:rPr>
                <w:rFonts w:ascii="Cambria Math" w:hAnsi="Cambria Math"/>
                <w:i/>
              </w:rPr>
            </m:ctrlPr>
          </m:sSubPr>
          <m:e>
            <m:r>
              <m:rPr/>
              <w:rPr>
                <w:rFonts w:ascii="Cambria Math" w:hAnsi="Cambria Math"/>
              </w:rPr>
              <m:t>CFP</m:t>
            </m:r>
            <m:ctrlPr>
              <w:rPr>
                <w:rFonts w:ascii="Cambria Math" w:hAnsi="Cambria Math"/>
                <w:i/>
              </w:rPr>
            </m:ctrlPr>
          </m:e>
          <m:sub>
            <m:r>
              <m:rPr/>
              <w:rPr>
                <w:rFonts w:ascii="Cambria Math" w:hAnsi="Cambria Math"/>
              </w:rPr>
              <m:t>B1</m:t>
            </m:r>
            <m:ctrlPr>
              <w:rPr>
                <w:rFonts w:ascii="Cambria Math" w:hAnsi="Cambria Math"/>
                <w:i/>
              </w:rPr>
            </m:ctrlPr>
          </m:sub>
        </m:sSub>
        <m:r>
          <m:rPr/>
          <w:rPr>
            <w:rFonts w:ascii="Cambria Math" w:hAnsi="Cambria Math"/>
          </w:rPr>
          <m:t>=</m:t>
        </m:r>
        <m:nary>
          <m:naryPr>
            <m:chr m:val="∑"/>
            <m:limLoc m:val="subSup"/>
            <m:supHide m:val="1"/>
            <m:ctrlPr>
              <w:rPr>
                <w:rFonts w:ascii="Cambria Math" w:hAnsi="Cambria Math"/>
                <w:i/>
              </w:rPr>
            </m:ctrlPr>
          </m:naryPr>
          <m:sub>
            <m:r>
              <m:rPr/>
              <w:rPr>
                <w:rFonts w:ascii="Cambria Math" w:hAnsi="Cambria Math"/>
              </w:rPr>
              <m:t>i</m:t>
            </m:r>
            <m:ctrlPr>
              <w:rPr>
                <w:rFonts w:ascii="Cambria Math" w:hAnsi="Cambria Math"/>
                <w:i/>
              </w:rPr>
            </m:ctrlPr>
          </m:sub>
          <m:sup>
            <m:ctrlPr>
              <w:rPr>
                <w:rFonts w:ascii="Cambria Math" w:hAnsi="Cambria Math"/>
                <w:i/>
              </w:rPr>
            </m:ctrlPr>
          </m:sup>
          <m:e>
            <m:r>
              <m:rPr/>
              <w:rPr>
                <w:rFonts w:ascii="Cambria Math" w:hAnsi="Cambria Math"/>
              </w:rPr>
              <m:t>(</m:t>
            </m:r>
            <m:sSub>
              <m:sSubPr>
                <m:ctrlPr>
                  <w:rPr>
                    <w:rFonts w:ascii="Cambria Math" w:hAnsi="Cambria Math"/>
                    <w:i/>
                  </w:rPr>
                </m:ctrlPr>
              </m:sSubPr>
              <m:e>
                <m:r>
                  <m:rPr/>
                  <w:rPr>
                    <w:rFonts w:ascii="Cambria Math" w:hAnsi="Cambria Math"/>
                  </w:rPr>
                  <m:t>AD</m:t>
                </m:r>
                <m:ctrlPr>
                  <w:rPr>
                    <w:rFonts w:ascii="Cambria Math" w:hAnsi="Cambria Math"/>
                    <w:i/>
                  </w:rPr>
                </m:ctrlPr>
              </m:e>
              <m:sub>
                <m:r>
                  <m:rPr/>
                  <w:rPr>
                    <w:rFonts w:ascii="Cambria Math" w:hAnsi="Cambria Math"/>
                  </w:rPr>
                  <m:t>B1,i</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B1,i</m:t>
                </m:r>
                <m:ctrlPr>
                  <w:rPr>
                    <w:rFonts w:ascii="Cambria Math" w:hAnsi="Cambria Math"/>
                    <w:i/>
                  </w:rPr>
                </m:ctrlPr>
              </m:sub>
            </m:sSub>
            <m:r>
              <m:rPr/>
              <w:rPr>
                <w:rFonts w:ascii="Cambria Math" w:hAnsi="Cambria Math"/>
              </w:rPr>
              <m:t>)</m:t>
            </m:r>
            <m:ctrlPr>
              <w:rPr>
                <w:rFonts w:ascii="Cambria Math" w:hAnsi="Cambria Math"/>
                <w:i/>
              </w:rPr>
            </m:ctrlPr>
          </m:e>
        </m:nary>
      </m:oMath>
      <w:r>
        <w:rPr>
          <w:rFonts w:hint="eastAsia" w:ascii="微软雅黑" w:hAnsi="微软雅黑" w:eastAsia="微软雅黑"/>
        </w:rPr>
        <w:tab/>
      </w:r>
      <w:r>
        <w:t>(</w:t>
      </w:r>
      <w:r>
        <w:fldChar w:fldCharType="begin"/>
      </w:r>
      <w:r>
        <w:instrText xml:space="preserve"> AUTONUM </w:instrText>
      </w:r>
      <w:r>
        <w:fldChar w:fldCharType="end"/>
      </w:r>
      <w:r>
        <w:t>)</w:t>
      </w:r>
    </w:p>
    <w:p w14:paraId="2AF33CAA">
      <w:pPr>
        <w:pStyle w:val="55"/>
        <w:ind w:firstLine="420"/>
      </w:pPr>
      <w:r>
        <w:rPr>
          <w:rFonts w:hint="eastAsia"/>
        </w:rPr>
        <w:t>式中：</w:t>
      </w:r>
    </w:p>
    <w:p w14:paraId="69C91C5E">
      <w:pPr>
        <w:pStyle w:val="56"/>
        <w:tabs>
          <w:tab w:val="left" w:pos="1134"/>
        </w:tabs>
        <w:ind w:left="1575" w:leftChars="200" w:hanging="1155" w:hangingChars="550"/>
      </w:pPr>
      <w:r>
        <w:rPr>
          <w:rFonts w:hint="eastAsia"/>
        </w:rPr>
        <w:t>AD</w:t>
      </w:r>
      <w:r>
        <w:rPr>
          <w:rFonts w:hint="eastAsia"/>
          <w:vertAlign w:val="subscript"/>
        </w:rPr>
        <w:t>B1,i</w:t>
      </w:r>
      <w:r>
        <w:rPr>
          <w:vertAlign w:val="subscript"/>
        </w:rPr>
        <w:tab/>
      </w:r>
      <w:r>
        <w:rPr>
          <w:rFonts w:hint="eastAsia"/>
        </w:rPr>
        <w:t>——第 i 种化石燃料的活动数据，对固体或液体燃料单位为千克（kg），对气体燃料单位为标立方米（Nm</w:t>
      </w:r>
      <w:r>
        <w:rPr>
          <w:rFonts w:hint="eastAsia"/>
          <w:vertAlign w:val="superscript"/>
        </w:rPr>
        <w:t>3</w:t>
      </w:r>
      <w:r>
        <w:rPr>
          <w:rFonts w:hint="eastAsia"/>
        </w:rPr>
        <w:t>）；</w:t>
      </w:r>
    </w:p>
    <w:p w14:paraId="297655D7">
      <w:pPr>
        <w:pStyle w:val="56"/>
        <w:tabs>
          <w:tab w:val="left" w:pos="1134"/>
        </w:tabs>
        <w:ind w:left="1575" w:leftChars="200" w:hanging="1155" w:hangingChars="550"/>
      </w:pPr>
      <w:r>
        <w:rPr>
          <w:rFonts w:hint="eastAsia"/>
        </w:rPr>
        <w:t>EF</w:t>
      </w:r>
      <w:r>
        <w:rPr>
          <w:rFonts w:hint="eastAsia"/>
          <w:vertAlign w:val="subscript"/>
        </w:rPr>
        <w:t>B1,i</w:t>
      </w:r>
      <w:r>
        <w:rPr>
          <w:vertAlign w:val="subscript"/>
        </w:rPr>
        <w:tab/>
      </w:r>
      <w:r>
        <w:rPr>
          <w:rFonts w:hint="eastAsia"/>
        </w:rPr>
        <w:t>——第i种化石燃料的温室气体排放因子，对固体或液体燃料单位为千克二氧化碳每千克（kgCO</w:t>
      </w:r>
      <w:r>
        <w:rPr>
          <w:rFonts w:hint="eastAsia"/>
          <w:vertAlign w:val="subscript"/>
        </w:rPr>
        <w:t>2</w:t>
      </w:r>
      <w:r>
        <w:rPr>
          <w:rFonts w:hint="eastAsia"/>
        </w:rPr>
        <w:t>e/kg），对气体燃料单位为千克二氧化碳每标立方米（kgCO</w:t>
      </w:r>
      <w:r>
        <w:rPr>
          <w:rFonts w:hint="eastAsia"/>
          <w:vertAlign w:val="subscript"/>
        </w:rPr>
        <w:t>2</w:t>
      </w:r>
      <w:r>
        <w:rPr>
          <w:rFonts w:hint="eastAsia"/>
        </w:rPr>
        <w:t>e/Nm</w:t>
      </w:r>
      <w:r>
        <w:rPr>
          <w:rFonts w:hint="eastAsia"/>
          <w:vertAlign w:val="superscript"/>
        </w:rPr>
        <w:t>3</w:t>
      </w:r>
      <w:r>
        <w:rPr>
          <w:rFonts w:hint="eastAsia"/>
        </w:rPr>
        <w:t>）；</w:t>
      </w:r>
    </w:p>
    <w:p w14:paraId="4C949A4D">
      <w:pPr>
        <w:pStyle w:val="56"/>
        <w:tabs>
          <w:tab w:val="left" w:pos="1134"/>
        </w:tabs>
        <w:ind w:left="1575" w:leftChars="200" w:hanging="1155" w:hangingChars="550"/>
      </w:pPr>
      <w:r>
        <w:rPr>
          <w:rFonts w:hint="eastAsia"/>
        </w:rPr>
        <w:t>i</w:t>
      </w:r>
      <w:r>
        <w:rPr>
          <w:vertAlign w:val="subscript"/>
        </w:rPr>
        <w:tab/>
      </w:r>
      <w:r>
        <w:rPr>
          <w:rFonts w:hint="eastAsia"/>
        </w:rPr>
        <w:t>——燃烧的化石燃料类型，汽油、柴油、液化天然气等。</w:t>
      </w:r>
      <w:r>
        <w:t xml:space="preserve"> </w:t>
      </w:r>
    </w:p>
    <w:p w14:paraId="71BCFB73">
      <w:pPr>
        <w:pStyle w:val="65"/>
        <w:spacing w:before="120" w:after="120"/>
      </w:pPr>
      <w:r>
        <w:rPr>
          <w:rFonts w:hint="eastAsia"/>
        </w:rPr>
        <w:t>消耗电力产生的温室气体排放计算</w:t>
      </w:r>
    </w:p>
    <w:p w14:paraId="37579694">
      <w:pPr>
        <w:pStyle w:val="56"/>
        <w:ind w:firstLine="420"/>
      </w:pPr>
      <w:r>
        <w:rPr>
          <w:rFonts w:hint="eastAsia"/>
        </w:rPr>
        <w:t>电力导致的间接温室气体排放量按公式（7）计算。</w:t>
      </w:r>
    </w:p>
    <w:p w14:paraId="7E01658A">
      <w:pPr>
        <w:pStyle w:val="113"/>
        <w:rPr>
          <w:rFonts w:hint="eastAsia"/>
        </w:rPr>
      </w:pPr>
      <w:r>
        <w:rPr>
          <w:rFonts w:hint="eastAsia"/>
        </w:rPr>
        <w:tab/>
      </w:r>
      <m:oMath>
        <m:sSub>
          <m:sSubPr>
            <m:ctrlPr>
              <w:rPr>
                <w:rFonts w:ascii="Cambria Math" w:hAnsi="Cambria Math"/>
                <w:i/>
              </w:rPr>
            </m:ctrlPr>
          </m:sSubPr>
          <m:e>
            <m:r>
              <m:rPr/>
              <w:rPr>
                <w:rFonts w:ascii="Cambria Math" w:hAnsi="Cambria Math"/>
              </w:rPr>
              <m:t>CFP</m:t>
            </m:r>
            <m:ctrlPr>
              <w:rPr>
                <w:rFonts w:ascii="Cambria Math" w:hAnsi="Cambria Math"/>
                <w:i/>
              </w:rPr>
            </m:ctrlPr>
          </m:e>
          <m:sub>
            <m:r>
              <m:rPr/>
              <w:rPr>
                <w:rFonts w:ascii="Cambria Math" w:hAnsi="Cambria Math"/>
              </w:rPr>
              <m:t>B2</m:t>
            </m:r>
            <m:ctrlPr>
              <w:rPr>
                <w:rFonts w:ascii="Cambria Math" w:hAnsi="Cambria Math"/>
                <w:i/>
              </w:rPr>
            </m:ctrlPr>
          </m:sub>
        </m:sSub>
        <m:r>
          <m:rPr/>
          <w:rPr>
            <w:rFonts w:ascii="Cambria Math" w:hAnsi="Cambria Math"/>
          </w:rPr>
          <m:t>=</m:t>
        </m:r>
        <m:nary>
          <m:naryPr>
            <m:chr m:val="∑"/>
            <m:limLoc m:val="subSup"/>
            <m:supHide m:val="1"/>
            <m:ctrlPr>
              <w:rPr>
                <w:rFonts w:ascii="Cambria Math" w:hAnsi="Cambria Math"/>
                <w:i/>
              </w:rPr>
            </m:ctrlPr>
          </m:naryPr>
          <m:sub>
            <m:r>
              <m:rPr/>
              <w:rPr>
                <w:rFonts w:ascii="Cambria Math" w:hAnsi="Cambria Math"/>
              </w:rPr>
              <m:t>i</m:t>
            </m:r>
            <m:ctrlPr>
              <w:rPr>
                <w:rFonts w:ascii="Cambria Math" w:hAnsi="Cambria Math"/>
                <w:i/>
              </w:rPr>
            </m:ctrlPr>
          </m:sub>
          <m:sup>
            <m:ctrlPr>
              <w:rPr>
                <w:rFonts w:ascii="Cambria Math" w:hAnsi="Cambria Math"/>
                <w:i/>
              </w:rPr>
            </m:ctrlPr>
          </m:sup>
          <m:e>
            <m:r>
              <m:rPr/>
              <w:rPr>
                <w:rFonts w:ascii="Cambria Math" w:hAnsi="Cambria Math"/>
              </w:rPr>
              <m:t>(</m:t>
            </m:r>
            <m:sSub>
              <m:sSubPr>
                <m:ctrlPr>
                  <w:rPr>
                    <w:rFonts w:ascii="Cambria Math" w:hAnsi="Cambria Math"/>
                    <w:i/>
                  </w:rPr>
                </m:ctrlPr>
              </m:sSubPr>
              <m:e>
                <m:r>
                  <m:rPr/>
                  <w:rPr>
                    <w:rFonts w:ascii="Cambria Math" w:hAnsi="Cambria Math"/>
                  </w:rPr>
                  <m:t>AD</m:t>
                </m:r>
                <m:ctrlPr>
                  <w:rPr>
                    <w:rFonts w:ascii="Cambria Math" w:hAnsi="Cambria Math"/>
                    <w:i/>
                  </w:rPr>
                </m:ctrlPr>
              </m:e>
              <m:sub>
                <m:r>
                  <m:rPr/>
                  <w:rPr>
                    <w:rFonts w:ascii="Cambria Math" w:hAnsi="Cambria Math"/>
                  </w:rPr>
                  <m:t>B2,i</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B2,i</m:t>
                </m:r>
                <m:ctrlPr>
                  <w:rPr>
                    <w:rFonts w:ascii="Cambria Math" w:hAnsi="Cambria Math"/>
                    <w:i/>
                  </w:rPr>
                </m:ctrlPr>
              </m:sub>
            </m:sSub>
            <m:r>
              <m:rPr/>
              <w:rPr>
                <w:rFonts w:ascii="Cambria Math" w:hAnsi="Cambria Math"/>
              </w:rPr>
              <m:t>)</m:t>
            </m:r>
            <m:ctrlPr>
              <w:rPr>
                <w:rFonts w:ascii="Cambria Math" w:hAnsi="Cambria Math"/>
                <w:i/>
              </w:rPr>
            </m:ctrlPr>
          </m:e>
        </m:nary>
      </m:oMath>
      <w:r>
        <w:rPr>
          <w:rFonts w:hint="eastAsia" w:ascii="微软雅黑" w:hAnsi="微软雅黑" w:eastAsia="微软雅黑"/>
        </w:rPr>
        <w:tab/>
      </w:r>
      <w:r>
        <w:t>(</w:t>
      </w:r>
      <w:r>
        <w:fldChar w:fldCharType="begin"/>
      </w:r>
      <w:r>
        <w:instrText xml:space="preserve"> AUTONUM </w:instrText>
      </w:r>
      <w:r>
        <w:fldChar w:fldCharType="end"/>
      </w:r>
      <w:r>
        <w:t>)</w:t>
      </w:r>
    </w:p>
    <w:p w14:paraId="4DD3C376">
      <w:pPr>
        <w:pStyle w:val="55"/>
        <w:ind w:firstLine="420"/>
      </w:pPr>
      <w:r>
        <w:rPr>
          <w:rFonts w:hint="eastAsia"/>
        </w:rPr>
        <w:t>式中：</w:t>
      </w:r>
    </w:p>
    <w:p w14:paraId="71E230DB">
      <w:pPr>
        <w:pStyle w:val="56"/>
        <w:tabs>
          <w:tab w:val="left" w:pos="1134"/>
        </w:tabs>
        <w:ind w:left="1575" w:leftChars="200" w:hanging="1155" w:hangingChars="550"/>
      </w:pPr>
      <w:r>
        <w:rPr>
          <w:rFonts w:hint="eastAsia"/>
        </w:rPr>
        <w:t>AD</w:t>
      </w:r>
      <w:r>
        <w:rPr>
          <w:rFonts w:hint="eastAsia"/>
          <w:vertAlign w:val="subscript"/>
        </w:rPr>
        <w:t>B2,i</w:t>
      </w:r>
      <w:r>
        <w:rPr>
          <w:vertAlign w:val="subscript"/>
        </w:rPr>
        <w:tab/>
      </w:r>
      <w:r>
        <w:rPr>
          <w:rFonts w:hint="eastAsia"/>
        </w:rPr>
        <w:t>——第 i 种来源的电力消耗量，单位为千瓦时（kWh）；</w:t>
      </w:r>
    </w:p>
    <w:p w14:paraId="472B2783">
      <w:pPr>
        <w:pStyle w:val="56"/>
        <w:tabs>
          <w:tab w:val="left" w:pos="1134"/>
        </w:tabs>
        <w:ind w:left="1575" w:leftChars="200" w:hanging="1155" w:hangingChars="550"/>
      </w:pPr>
      <w:r>
        <w:rPr>
          <w:rFonts w:hint="eastAsia"/>
        </w:rPr>
        <w:t>EF</w:t>
      </w:r>
      <w:r>
        <w:rPr>
          <w:rFonts w:hint="eastAsia"/>
          <w:vertAlign w:val="subscript"/>
        </w:rPr>
        <w:t>B2,i</w:t>
      </w:r>
      <w:r>
        <w:rPr>
          <w:vertAlign w:val="subscript"/>
        </w:rPr>
        <w:tab/>
      </w:r>
      <w:r>
        <w:rPr>
          <w:rFonts w:hint="eastAsia"/>
        </w:rPr>
        <w:t>——第i种来源的电力碳足迹因子，单位为千克二氧化碳当量每千瓦时（kgCO</w:t>
      </w:r>
      <w:r>
        <w:rPr>
          <w:rFonts w:hint="eastAsia"/>
          <w:vertAlign w:val="subscript"/>
        </w:rPr>
        <w:t>2</w:t>
      </w:r>
      <w:r>
        <w:rPr>
          <w:rFonts w:hint="eastAsia"/>
        </w:rPr>
        <w:t>e/kWh）；</w:t>
      </w:r>
    </w:p>
    <w:p w14:paraId="6D5A0BC7">
      <w:pPr>
        <w:pStyle w:val="56"/>
        <w:tabs>
          <w:tab w:val="left" w:pos="1134"/>
        </w:tabs>
        <w:ind w:left="1575" w:leftChars="200" w:hanging="1155" w:hangingChars="550"/>
      </w:pPr>
      <w:r>
        <w:rPr>
          <w:rFonts w:hint="eastAsia"/>
        </w:rPr>
        <w:t>i</w:t>
      </w:r>
      <w:r>
        <w:rPr>
          <w:vertAlign w:val="subscript"/>
        </w:rPr>
        <w:tab/>
      </w:r>
      <w:r>
        <w:rPr>
          <w:rFonts w:hint="eastAsia"/>
        </w:rPr>
        <w:t>——电力的来源，例如网电、风电、光伏发电等。</w:t>
      </w:r>
    </w:p>
    <w:p w14:paraId="7F8E1C8B">
      <w:pPr>
        <w:pStyle w:val="65"/>
        <w:spacing w:before="120" w:after="120"/>
      </w:pPr>
      <w:r>
        <w:rPr>
          <w:rFonts w:hint="eastAsia"/>
        </w:rPr>
        <w:t>消耗热力产生的温室气体排放计算</w:t>
      </w:r>
    </w:p>
    <w:p w14:paraId="589B280B">
      <w:pPr>
        <w:pStyle w:val="56"/>
        <w:ind w:firstLine="420"/>
      </w:pPr>
      <w:r>
        <w:rPr>
          <w:rFonts w:hint="eastAsia"/>
        </w:rPr>
        <w:t>消耗热力产生的温室气体排放量按公式（8）计算。</w:t>
      </w:r>
    </w:p>
    <w:p w14:paraId="483D43A2">
      <w:pPr>
        <w:pStyle w:val="113"/>
        <w:rPr>
          <w:rFonts w:hint="eastAsia"/>
        </w:rPr>
      </w:pPr>
      <w:r>
        <w:rPr>
          <w:rFonts w:hint="eastAsia"/>
        </w:rPr>
        <w:tab/>
      </w:r>
      <m:oMath>
        <m:sSub>
          <m:sSubPr>
            <m:ctrlPr>
              <w:rPr>
                <w:rFonts w:ascii="Cambria Math" w:hAnsi="Cambria Math"/>
                <w:i/>
              </w:rPr>
            </m:ctrlPr>
          </m:sSubPr>
          <m:e>
            <m:r>
              <m:rPr/>
              <w:rPr>
                <w:rFonts w:ascii="Cambria Math" w:hAnsi="Cambria Math"/>
              </w:rPr>
              <m:t>CFP</m:t>
            </m:r>
            <m:ctrlPr>
              <w:rPr>
                <w:rFonts w:ascii="Cambria Math" w:hAnsi="Cambria Math"/>
                <w:i/>
              </w:rPr>
            </m:ctrlPr>
          </m:e>
          <m:sub>
            <m:r>
              <m:rPr/>
              <w:rPr>
                <w:rFonts w:ascii="Cambria Math" w:hAnsi="Cambria Math"/>
              </w:rPr>
              <m:t>B3</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AD</m:t>
            </m:r>
            <m:ctrlPr>
              <w:rPr>
                <w:rFonts w:ascii="Cambria Math" w:hAnsi="Cambria Math"/>
                <w:i/>
              </w:rPr>
            </m:ctrlPr>
          </m:e>
          <m:sub>
            <m:r>
              <m:rPr/>
              <w:rPr>
                <w:rFonts w:ascii="Cambria Math" w:hAnsi="Cambria Math"/>
              </w:rPr>
              <m:t>B3</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B3</m:t>
            </m:r>
            <m:ctrlPr>
              <w:rPr>
                <w:rFonts w:ascii="Cambria Math" w:hAnsi="Cambria Math"/>
                <w:i/>
              </w:rPr>
            </m:ctrlPr>
          </m:sub>
        </m:sSub>
      </m:oMath>
      <w:r>
        <w:rPr>
          <w:rFonts w:hint="eastAsia" w:ascii="微软雅黑" w:hAnsi="微软雅黑" w:eastAsia="微软雅黑"/>
        </w:rPr>
        <w:tab/>
      </w:r>
      <w:r>
        <w:t>(</w:t>
      </w:r>
      <w:r>
        <w:fldChar w:fldCharType="begin"/>
      </w:r>
      <w:r>
        <w:instrText xml:space="preserve"> AUTONUM </w:instrText>
      </w:r>
      <w:r>
        <w:fldChar w:fldCharType="end"/>
      </w:r>
      <w:r>
        <w:t>)</w:t>
      </w:r>
    </w:p>
    <w:p w14:paraId="11282865">
      <w:pPr>
        <w:pStyle w:val="55"/>
        <w:ind w:firstLine="420"/>
      </w:pPr>
      <w:r>
        <w:rPr>
          <w:rFonts w:hint="eastAsia"/>
        </w:rPr>
        <w:t>式中：</w:t>
      </w:r>
    </w:p>
    <w:p w14:paraId="2D9FFE0C">
      <w:pPr>
        <w:pStyle w:val="56"/>
        <w:tabs>
          <w:tab w:val="left" w:pos="1134"/>
        </w:tabs>
        <w:ind w:left="1575" w:leftChars="200" w:hanging="1155" w:hangingChars="550"/>
      </w:pPr>
      <w:r>
        <w:rPr>
          <w:rFonts w:hint="eastAsia"/>
        </w:rPr>
        <w:t>AD</w:t>
      </w:r>
      <w:r>
        <w:rPr>
          <w:rFonts w:hint="eastAsia"/>
          <w:vertAlign w:val="subscript"/>
        </w:rPr>
        <w:t>B3</w:t>
      </w:r>
      <w:r>
        <w:rPr>
          <w:vertAlign w:val="subscript"/>
        </w:rPr>
        <w:tab/>
      </w:r>
      <w:r>
        <w:rPr>
          <w:rFonts w:hint="eastAsia"/>
        </w:rPr>
        <w:t>——热力消耗量，单位为吉焦（GJ）；</w:t>
      </w:r>
    </w:p>
    <w:p w14:paraId="6DE1DFAF">
      <w:pPr>
        <w:pStyle w:val="56"/>
        <w:tabs>
          <w:tab w:val="left" w:pos="1134"/>
        </w:tabs>
        <w:ind w:left="1575" w:leftChars="200" w:hanging="1155" w:hangingChars="550"/>
      </w:pPr>
      <w:r>
        <w:rPr>
          <w:rFonts w:hint="eastAsia"/>
        </w:rPr>
        <w:t>EF</w:t>
      </w:r>
      <w:r>
        <w:rPr>
          <w:rFonts w:hint="eastAsia"/>
          <w:vertAlign w:val="subscript"/>
        </w:rPr>
        <w:t>B3</w:t>
      </w:r>
      <w:r>
        <w:rPr>
          <w:vertAlign w:val="subscript"/>
        </w:rPr>
        <w:tab/>
      </w:r>
      <w:r>
        <w:rPr>
          <w:rFonts w:hint="eastAsia"/>
        </w:rPr>
        <w:t>——热力二氧化碳排放因子，单位为千克二氧化碳每吉焦（kgCO</w:t>
      </w:r>
      <w:r>
        <w:rPr>
          <w:rFonts w:hint="eastAsia"/>
          <w:vertAlign w:val="subscript"/>
        </w:rPr>
        <w:t>2</w:t>
      </w:r>
      <w:r>
        <w:rPr>
          <w:rFonts w:hint="eastAsia"/>
        </w:rPr>
        <w:t>/GJ）。</w:t>
      </w:r>
    </w:p>
    <w:p w14:paraId="6EA58F7B">
      <w:pPr>
        <w:pStyle w:val="65"/>
        <w:spacing w:before="120" w:after="120"/>
      </w:pPr>
      <w:r>
        <w:rPr>
          <w:rFonts w:hint="eastAsia"/>
        </w:rPr>
        <w:t>逸散源产生的温室气体排放计算</w:t>
      </w:r>
    </w:p>
    <w:p w14:paraId="28A75729">
      <w:pPr>
        <w:pStyle w:val="56"/>
        <w:ind w:firstLine="420"/>
      </w:pPr>
      <w:r>
        <w:rPr>
          <w:rFonts w:hint="eastAsia"/>
        </w:rPr>
        <w:t>制冷剂和灭火器等逸散源产生的温室气体排放量按公式（9）计算。</w:t>
      </w:r>
    </w:p>
    <w:p w14:paraId="330E8144">
      <w:pPr>
        <w:pStyle w:val="113"/>
        <w:rPr>
          <w:rFonts w:hint="eastAsia"/>
        </w:rPr>
      </w:pPr>
      <w:r>
        <w:rPr>
          <w:rFonts w:hint="eastAsia"/>
        </w:rPr>
        <w:tab/>
      </w:r>
      <m:oMath>
        <m:sSub>
          <m:sSubPr>
            <m:ctrlPr>
              <w:rPr>
                <w:rFonts w:ascii="Cambria Math" w:hAnsi="Cambria Math"/>
                <w:i/>
              </w:rPr>
            </m:ctrlPr>
          </m:sSubPr>
          <m:e>
            <m:r>
              <m:rPr/>
              <w:rPr>
                <w:rFonts w:ascii="Cambria Math" w:hAnsi="Cambria Math"/>
              </w:rPr>
              <m:t>CFP</m:t>
            </m:r>
            <m:ctrlPr>
              <w:rPr>
                <w:rFonts w:ascii="Cambria Math" w:hAnsi="Cambria Math"/>
                <w:i/>
              </w:rPr>
            </m:ctrlPr>
          </m:e>
          <m:sub>
            <m:r>
              <m:rPr/>
              <w:rPr>
                <w:rFonts w:ascii="Cambria Math" w:hAnsi="Cambria Math"/>
              </w:rPr>
              <m:t>B4</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AD</m:t>
            </m:r>
            <m:ctrlPr>
              <w:rPr>
                <w:rFonts w:ascii="Cambria Math" w:hAnsi="Cambria Math"/>
                <w:i/>
              </w:rPr>
            </m:ctrlPr>
          </m:e>
          <m:sub>
            <m:r>
              <m:rPr/>
              <w:rPr>
                <w:rFonts w:ascii="Cambria Math" w:hAnsi="Cambria Math"/>
              </w:rPr>
              <m:t>B4,i</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B4,i</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GWP</m:t>
            </m:r>
            <m:ctrlPr>
              <w:rPr>
                <w:rFonts w:ascii="Cambria Math" w:hAnsi="Cambria Math"/>
                <w:i/>
              </w:rPr>
            </m:ctrlPr>
          </m:e>
          <m:sub>
            <m:r>
              <m:rPr/>
              <w:rPr>
                <w:rFonts w:ascii="Cambria Math" w:hAnsi="Cambria Math"/>
              </w:rPr>
              <m:t>i</m:t>
            </m:r>
            <m:ctrlPr>
              <w:rPr>
                <w:rFonts w:ascii="Cambria Math" w:hAnsi="Cambria Math"/>
                <w:i/>
              </w:rPr>
            </m:ctrlPr>
          </m:sub>
        </m:sSub>
      </m:oMath>
      <w:r>
        <w:rPr>
          <w:rFonts w:hint="eastAsia" w:ascii="微软雅黑" w:hAnsi="微软雅黑" w:eastAsia="微软雅黑"/>
        </w:rPr>
        <w:tab/>
      </w:r>
      <w:r>
        <w:t>(</w:t>
      </w:r>
      <w:r>
        <w:fldChar w:fldCharType="begin"/>
      </w:r>
      <w:r>
        <w:instrText xml:space="preserve"> AUTONUM </w:instrText>
      </w:r>
      <w:r>
        <w:fldChar w:fldCharType="end"/>
      </w:r>
      <w:r>
        <w:t>)</w:t>
      </w:r>
    </w:p>
    <w:p w14:paraId="4F026E97">
      <w:pPr>
        <w:pStyle w:val="55"/>
        <w:ind w:firstLine="420"/>
      </w:pPr>
      <w:r>
        <w:rPr>
          <w:rFonts w:hint="eastAsia"/>
        </w:rPr>
        <w:t>式中：</w:t>
      </w:r>
    </w:p>
    <w:p w14:paraId="6389919D">
      <w:pPr>
        <w:pStyle w:val="56"/>
        <w:tabs>
          <w:tab w:val="left" w:pos="1134"/>
        </w:tabs>
        <w:ind w:left="1575" w:leftChars="200" w:hanging="1155" w:hangingChars="550"/>
      </w:pPr>
      <w:r>
        <w:rPr>
          <w:rFonts w:hint="eastAsia"/>
        </w:rPr>
        <w:t>AD</w:t>
      </w:r>
      <w:r>
        <w:rPr>
          <w:rFonts w:hint="eastAsia"/>
          <w:vertAlign w:val="subscript"/>
        </w:rPr>
        <w:t>B4,i</w:t>
      </w:r>
      <w:r>
        <w:rPr>
          <w:vertAlign w:val="subscript"/>
        </w:rPr>
        <w:tab/>
      </w:r>
      <w:r>
        <w:rPr>
          <w:rFonts w:hint="eastAsia"/>
        </w:rPr>
        <w:t>——第i种逸散源的活动数据，单位为千克（kg）；</w:t>
      </w:r>
    </w:p>
    <w:p w14:paraId="204B9ABE">
      <w:pPr>
        <w:pStyle w:val="56"/>
        <w:tabs>
          <w:tab w:val="left" w:pos="1134"/>
        </w:tabs>
        <w:ind w:left="1575" w:leftChars="200" w:hanging="1155" w:hangingChars="550"/>
      </w:pPr>
      <w:r>
        <w:rPr>
          <w:rFonts w:hint="eastAsia"/>
        </w:rPr>
        <w:t>EF</w:t>
      </w:r>
      <w:r>
        <w:rPr>
          <w:rFonts w:hint="eastAsia"/>
          <w:vertAlign w:val="subscript"/>
        </w:rPr>
        <w:t>B4,i</w:t>
      </w:r>
      <w:r>
        <w:rPr>
          <w:vertAlign w:val="subscript"/>
        </w:rPr>
        <w:tab/>
      </w:r>
      <w:r>
        <w:rPr>
          <w:rFonts w:hint="eastAsia"/>
        </w:rPr>
        <w:t>——第i种逸散源的排放因子，单位为千克逸散源每千克（kg/kg）；</w:t>
      </w:r>
    </w:p>
    <w:p w14:paraId="16B21CCE">
      <w:pPr>
        <w:pStyle w:val="56"/>
        <w:tabs>
          <w:tab w:val="left" w:pos="1134"/>
        </w:tabs>
        <w:ind w:left="1575" w:leftChars="200" w:hanging="1155" w:hangingChars="550"/>
      </w:pPr>
      <w:r>
        <w:rPr>
          <w:rFonts w:hint="eastAsia"/>
        </w:rPr>
        <w:t>GWP</w:t>
      </w:r>
      <w:r>
        <w:rPr>
          <w:rFonts w:hint="eastAsia"/>
          <w:vertAlign w:val="subscript"/>
        </w:rPr>
        <w:t>i</w:t>
      </w:r>
      <w:r>
        <w:rPr>
          <w:vertAlign w:val="subscript"/>
        </w:rPr>
        <w:tab/>
      </w:r>
      <w:r>
        <w:rPr>
          <w:rFonts w:hint="eastAsia"/>
        </w:rPr>
        <w:t>——第i种逸散源的温室气体全球变暖潜势值，参考附录B取值。</w:t>
      </w:r>
    </w:p>
    <w:p w14:paraId="2A43863D">
      <w:pPr>
        <w:pStyle w:val="65"/>
        <w:spacing w:before="120" w:after="120"/>
      </w:pPr>
      <w:r>
        <w:rPr>
          <w:rFonts w:hint="eastAsia"/>
        </w:rPr>
        <w:t>废弃物处理产生的温室气体排放计算</w:t>
      </w:r>
    </w:p>
    <w:p w14:paraId="0C9CEDA7">
      <w:pPr>
        <w:pStyle w:val="56"/>
        <w:ind w:firstLine="420"/>
      </w:pPr>
      <w:r>
        <w:rPr>
          <w:rFonts w:hint="eastAsia"/>
        </w:rPr>
        <w:t>废弃物处理包括生产污水处理、固体废弃物处置等过程，该过程产生的程温室气体排放量按公式（10）计算。</w:t>
      </w:r>
    </w:p>
    <w:p w14:paraId="19D7661E">
      <w:pPr>
        <w:pStyle w:val="113"/>
        <w:rPr>
          <w:rFonts w:hint="eastAsia"/>
        </w:rPr>
      </w:pPr>
      <w:r>
        <w:rPr>
          <w:rFonts w:hint="eastAsia"/>
        </w:rPr>
        <w:tab/>
      </w:r>
      <m:oMath>
        <m:sSub>
          <m:sSubPr>
            <m:ctrlPr>
              <w:rPr>
                <w:rFonts w:ascii="Cambria Math" w:hAnsi="Cambria Math"/>
                <w:i/>
              </w:rPr>
            </m:ctrlPr>
          </m:sSubPr>
          <m:e>
            <m:r>
              <m:rPr/>
              <w:rPr>
                <w:rFonts w:ascii="Cambria Math" w:hAnsi="Cambria Math"/>
              </w:rPr>
              <m:t>CFP</m:t>
            </m:r>
            <m:ctrlPr>
              <w:rPr>
                <w:rFonts w:ascii="Cambria Math" w:hAnsi="Cambria Math"/>
                <w:i/>
              </w:rPr>
            </m:ctrlPr>
          </m:e>
          <m:sub>
            <m:r>
              <m:rPr/>
              <w:rPr>
                <w:rFonts w:ascii="Cambria Math" w:hAnsi="Cambria Math"/>
              </w:rPr>
              <m:t>B5</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AD</m:t>
            </m:r>
            <m:ctrlPr>
              <w:rPr>
                <w:rFonts w:ascii="Cambria Math" w:hAnsi="Cambria Math"/>
                <w:i/>
              </w:rPr>
            </m:ctrlPr>
          </m:e>
          <m:sub>
            <m:r>
              <m:rPr/>
              <w:rPr>
                <w:rFonts w:ascii="Cambria Math" w:hAnsi="Cambria Math"/>
              </w:rPr>
              <m:t>B5,i</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B5,i</m:t>
            </m:r>
            <m:ctrlPr>
              <w:rPr>
                <w:rFonts w:ascii="Cambria Math" w:hAnsi="Cambria Math"/>
                <w:i/>
              </w:rPr>
            </m:ctrlPr>
          </m:sub>
        </m:sSub>
      </m:oMath>
      <w:r>
        <w:rPr>
          <w:rFonts w:hint="eastAsia" w:ascii="微软雅黑" w:hAnsi="微软雅黑" w:eastAsia="微软雅黑"/>
        </w:rPr>
        <w:tab/>
      </w:r>
      <w:r>
        <w:t>(</w:t>
      </w:r>
      <w:r>
        <w:fldChar w:fldCharType="begin"/>
      </w:r>
      <w:r>
        <w:instrText xml:space="preserve"> AUTONUM </w:instrText>
      </w:r>
      <w:r>
        <w:fldChar w:fldCharType="end"/>
      </w:r>
      <w:r>
        <w:t>)</w:t>
      </w:r>
    </w:p>
    <w:p w14:paraId="26DAAEBA">
      <w:pPr>
        <w:pStyle w:val="55"/>
        <w:ind w:firstLine="420"/>
      </w:pPr>
      <w:r>
        <w:rPr>
          <w:rFonts w:hint="eastAsia"/>
        </w:rPr>
        <w:t>式中：</w:t>
      </w:r>
    </w:p>
    <w:p w14:paraId="6CB2D79C">
      <w:pPr>
        <w:pStyle w:val="56"/>
        <w:tabs>
          <w:tab w:val="left" w:pos="1134"/>
        </w:tabs>
        <w:ind w:left="1575" w:leftChars="200" w:hanging="1155" w:hangingChars="550"/>
      </w:pPr>
      <w:r>
        <w:rPr>
          <w:rFonts w:hint="eastAsia"/>
        </w:rPr>
        <w:t>AD</w:t>
      </w:r>
      <w:r>
        <w:rPr>
          <w:rFonts w:hint="eastAsia"/>
          <w:vertAlign w:val="subscript"/>
        </w:rPr>
        <w:t>B5,i</w:t>
      </w:r>
      <w:r>
        <w:rPr>
          <w:vertAlign w:val="subscript"/>
        </w:rPr>
        <w:tab/>
      </w:r>
      <w:r>
        <w:rPr>
          <w:rFonts w:hint="eastAsia"/>
        </w:rPr>
        <w:t>——第i种废弃物的活动数据，单位为千克（kg）；</w:t>
      </w:r>
    </w:p>
    <w:p w14:paraId="3CAA03C7">
      <w:pPr>
        <w:pStyle w:val="56"/>
        <w:tabs>
          <w:tab w:val="left" w:pos="1134"/>
        </w:tabs>
        <w:ind w:left="1575" w:leftChars="200" w:hanging="1155" w:hangingChars="550"/>
      </w:pPr>
      <w:r>
        <w:rPr>
          <w:rFonts w:hint="eastAsia"/>
        </w:rPr>
        <w:t>EF</w:t>
      </w:r>
      <w:r>
        <w:rPr>
          <w:rFonts w:hint="eastAsia"/>
          <w:vertAlign w:val="subscript"/>
        </w:rPr>
        <w:t>B5,i</w:t>
      </w:r>
      <w:r>
        <w:rPr>
          <w:vertAlign w:val="subscript"/>
        </w:rPr>
        <w:tab/>
      </w:r>
      <w:r>
        <w:rPr>
          <w:rFonts w:hint="eastAsia"/>
        </w:rPr>
        <w:t>——处理第i种废弃物的碳足迹因子，单位为千克二氧化碳当量每千克（kgCO</w:t>
      </w:r>
      <w:r>
        <w:rPr>
          <w:rFonts w:hint="eastAsia"/>
          <w:vertAlign w:val="subscript"/>
        </w:rPr>
        <w:t>2</w:t>
      </w:r>
      <w:r>
        <w:rPr>
          <w:rFonts w:hint="eastAsia"/>
        </w:rPr>
        <w:t>e/kg）。</w:t>
      </w:r>
    </w:p>
    <w:p w14:paraId="7063CCE0">
      <w:pPr>
        <w:pStyle w:val="104"/>
        <w:spacing w:before="240" w:after="240"/>
      </w:pPr>
      <w:bookmarkStart w:id="86" w:name="_Toc231207644"/>
      <w:bookmarkStart w:id="87" w:name="_Toc231215116"/>
      <w:r>
        <w:rPr>
          <w:rFonts w:hint="eastAsia"/>
        </w:rPr>
        <w:t>结果解释</w:t>
      </w:r>
      <w:bookmarkEnd w:id="86"/>
      <w:bookmarkEnd w:id="87"/>
    </w:p>
    <w:p w14:paraId="4D5C7696">
      <w:pPr>
        <w:pStyle w:val="56"/>
        <w:ind w:firstLine="420"/>
      </w:pPr>
      <w:r>
        <w:rPr>
          <w:rFonts w:hint="eastAsia"/>
        </w:rPr>
        <w:t>港口货物（集装箱/杂货/滚装货物）装卸服务碳足迹结果解释阶段应包括以下步骤：</w:t>
      </w:r>
    </w:p>
    <w:p w14:paraId="6F3E2CA2">
      <w:pPr>
        <w:pStyle w:val="132"/>
      </w:pPr>
      <w:r>
        <w:rPr>
          <w:rFonts w:hint="eastAsia"/>
        </w:rPr>
        <w:t>根据生命周期清单分析和港口货物（集装箱/杂货/滚装货物）装卸服务碳足迹影响评价的量化结果，识别显著环节（可包括声明周期阶段、单元过程或物质流、能量流）；</w:t>
      </w:r>
    </w:p>
    <w:p w14:paraId="3F434261">
      <w:pPr>
        <w:pStyle w:val="132"/>
      </w:pPr>
      <w:r>
        <w:rPr>
          <w:rFonts w:hint="eastAsia"/>
        </w:rPr>
        <w:t>完整性、一致性和敏感性分析的评估；</w:t>
      </w:r>
    </w:p>
    <w:p w14:paraId="12566313">
      <w:pPr>
        <w:pStyle w:val="132"/>
      </w:pPr>
      <w:r>
        <w:rPr>
          <w:rFonts w:hint="eastAsia"/>
        </w:rPr>
        <w:t>结论、局限性和建议的编制。</w:t>
      </w:r>
    </w:p>
    <w:p w14:paraId="17238F98">
      <w:pPr>
        <w:pStyle w:val="56"/>
        <w:ind w:firstLine="420"/>
      </w:pPr>
      <w:r>
        <w:rPr>
          <w:rFonts w:hint="eastAsia"/>
        </w:rPr>
        <w:t>应根据港口货物（集装箱/杂货/滚装货物）装卸服务碳足迹量化的目的和范围进行结果解释，一般包括以下内容：</w:t>
      </w:r>
    </w:p>
    <w:p w14:paraId="4A487CD4">
      <w:pPr>
        <w:pStyle w:val="132"/>
      </w:pPr>
      <w:r>
        <w:rPr>
          <w:rFonts w:hint="eastAsia"/>
        </w:rPr>
        <w:t>说明产品碳足迹和各生命周期阶段的碳足迹；</w:t>
      </w:r>
    </w:p>
    <w:p w14:paraId="59E9BD36">
      <w:pPr>
        <w:pStyle w:val="132"/>
      </w:pPr>
      <w:r>
        <w:rPr>
          <w:rFonts w:hint="eastAsia"/>
        </w:rPr>
        <w:t>分析不确定性,包括取舍准则的应用或范围；</w:t>
      </w:r>
    </w:p>
    <w:p w14:paraId="770CA58B">
      <w:pPr>
        <w:pStyle w:val="132"/>
      </w:pPr>
      <w:r>
        <w:rPr>
          <w:rFonts w:hint="eastAsia"/>
        </w:rPr>
        <w:t>详细记录选定的分配程序；</w:t>
      </w:r>
    </w:p>
    <w:p w14:paraId="3B37B909">
      <w:pPr>
        <w:pStyle w:val="132"/>
      </w:pPr>
      <w:r>
        <w:rPr>
          <w:rFonts w:hint="eastAsia"/>
        </w:rPr>
        <w:t>说明产品碳足迹研究的局限性。</w:t>
      </w:r>
    </w:p>
    <w:p w14:paraId="63C26BB4">
      <w:pPr>
        <w:pStyle w:val="56"/>
        <w:ind w:firstLine="420"/>
      </w:pPr>
      <w:r>
        <w:rPr>
          <w:rFonts w:hint="eastAsia"/>
        </w:rPr>
        <w:t>结果解释宜包含以下信息：</w:t>
      </w:r>
    </w:p>
    <w:p w14:paraId="34AAC5A3">
      <w:pPr>
        <w:pStyle w:val="132"/>
      </w:pPr>
      <w:r>
        <w:rPr>
          <w:rFonts w:hint="eastAsia"/>
        </w:rPr>
        <w:t>分析重要输入、输出和方法学选择（包括分配程序）的敏感性，以了解结果的敏感性和不确定性；</w:t>
      </w:r>
    </w:p>
    <w:p w14:paraId="166CD19D">
      <w:pPr>
        <w:pStyle w:val="132"/>
      </w:pPr>
      <w:r>
        <w:rPr>
          <w:rFonts w:hint="eastAsia"/>
        </w:rPr>
        <w:t>评估替代使用情景对最终结果的影响评价；</w:t>
      </w:r>
    </w:p>
    <w:p w14:paraId="67B22DE1">
      <w:pPr>
        <w:pStyle w:val="132"/>
      </w:pPr>
      <w:r>
        <w:rPr>
          <w:rFonts w:hint="eastAsia"/>
        </w:rPr>
        <w:t>评估不同生命末期阶段情景对最终结果的影响评价；</w:t>
      </w:r>
    </w:p>
    <w:p w14:paraId="3996F345">
      <w:pPr>
        <w:pStyle w:val="132"/>
      </w:pPr>
      <w:r>
        <w:rPr>
          <w:rFonts w:hint="eastAsia"/>
        </w:rPr>
        <w:t>评估建议对结果的影响；</w:t>
      </w:r>
    </w:p>
    <w:p w14:paraId="4DEBDC61">
      <w:pPr>
        <w:pStyle w:val="132"/>
      </w:pPr>
      <w:r>
        <w:rPr>
          <w:rFonts w:hint="eastAsia"/>
        </w:rPr>
        <w:t>描述地理格网的划分方法及地理格网的尺度要求原则（如适用）。</w:t>
      </w:r>
    </w:p>
    <w:p w14:paraId="6F948DA2">
      <w:pPr>
        <w:pStyle w:val="104"/>
        <w:spacing w:before="240" w:after="240"/>
      </w:pPr>
      <w:bookmarkStart w:id="88" w:name="_Toc231215117"/>
      <w:bookmarkStart w:id="89" w:name="_Toc231207645"/>
      <w:r>
        <w:rPr>
          <w:rFonts w:hint="eastAsia"/>
        </w:rPr>
        <w:t>碳足迹报告</w:t>
      </w:r>
      <w:bookmarkEnd w:id="88"/>
      <w:bookmarkEnd w:id="89"/>
    </w:p>
    <w:p w14:paraId="13A1BE42">
      <w:pPr>
        <w:pStyle w:val="56"/>
        <w:ind w:firstLine="420"/>
      </w:pPr>
      <w:r>
        <w:rPr>
          <w:rFonts w:hint="eastAsia"/>
        </w:rPr>
        <w:t>港口货物（集装箱/杂货/滚装货物）装卸服务碳足迹报告应包括但不限于下列内容：</w:t>
      </w:r>
    </w:p>
    <w:p w14:paraId="3F0C9D87">
      <w:pPr>
        <w:pStyle w:val="132"/>
      </w:pPr>
      <w:r>
        <w:rPr>
          <w:rFonts w:hint="eastAsia"/>
        </w:rPr>
        <w:t>基本情况</w:t>
      </w:r>
    </w:p>
    <w:p w14:paraId="62041CAE">
      <w:pPr>
        <w:pStyle w:val="187"/>
      </w:pPr>
      <w:r>
        <w:rPr>
          <w:rFonts w:hint="eastAsia"/>
        </w:rPr>
        <w:t>委托方与评价方信息；</w:t>
      </w:r>
    </w:p>
    <w:p w14:paraId="52CD3AD7">
      <w:pPr>
        <w:pStyle w:val="187"/>
      </w:pPr>
      <w:r>
        <w:rPr>
          <w:rFonts w:hint="eastAsia"/>
        </w:rPr>
        <w:t>报告信息；</w:t>
      </w:r>
    </w:p>
    <w:p w14:paraId="26573F12">
      <w:pPr>
        <w:pStyle w:val="187"/>
      </w:pPr>
      <w:r>
        <w:rPr>
          <w:rFonts w:hint="eastAsia"/>
        </w:rPr>
        <w:t>依据的标准；</w:t>
      </w:r>
    </w:p>
    <w:p w14:paraId="7C1B5DC4">
      <w:pPr>
        <w:pStyle w:val="187"/>
      </w:pPr>
      <w:r>
        <w:rPr>
          <w:rFonts w:hint="eastAsia"/>
        </w:rPr>
        <w:t>使用的产品种类规则或其他补充要求的参考资料（如有）。</w:t>
      </w:r>
    </w:p>
    <w:p w14:paraId="40E92C4D">
      <w:pPr>
        <w:pStyle w:val="132"/>
      </w:pPr>
      <w:r>
        <w:rPr>
          <w:rFonts w:hint="eastAsia"/>
        </w:rPr>
        <w:t>量化目的</w:t>
      </w:r>
    </w:p>
    <w:p w14:paraId="4C5568CD">
      <w:pPr>
        <w:pStyle w:val="187"/>
      </w:pPr>
      <w:r>
        <w:rPr>
          <w:rFonts w:hint="eastAsia"/>
        </w:rPr>
        <w:t>开展量化的目的；</w:t>
      </w:r>
    </w:p>
    <w:p w14:paraId="03A270B8">
      <w:pPr>
        <w:pStyle w:val="187"/>
      </w:pPr>
      <w:r>
        <w:rPr>
          <w:rFonts w:hint="eastAsia"/>
        </w:rPr>
        <w:t>预期用途。</w:t>
      </w:r>
    </w:p>
    <w:p w14:paraId="09CAFA12">
      <w:pPr>
        <w:pStyle w:val="132"/>
      </w:pPr>
      <w:r>
        <w:rPr>
          <w:rFonts w:hint="eastAsia"/>
        </w:rPr>
        <w:t>量化范围</w:t>
      </w:r>
    </w:p>
    <w:p w14:paraId="4AE832FF">
      <w:pPr>
        <w:pStyle w:val="187"/>
      </w:pPr>
      <w:r>
        <w:rPr>
          <w:rFonts w:hint="eastAsia"/>
        </w:rPr>
        <w:t>港口货物（集装箱/杂货/滚装货物）装卸服务说明，包括功能和技术参数；</w:t>
      </w:r>
    </w:p>
    <w:p w14:paraId="48F92BCA">
      <w:pPr>
        <w:pStyle w:val="187"/>
      </w:pPr>
      <w:r>
        <w:rPr>
          <w:rFonts w:hint="eastAsia"/>
        </w:rPr>
        <w:t>功能单位；</w:t>
      </w:r>
    </w:p>
    <w:p w14:paraId="1A11C558">
      <w:pPr>
        <w:pStyle w:val="187"/>
      </w:pPr>
      <w:r>
        <w:rPr>
          <w:rFonts w:hint="eastAsia"/>
        </w:rPr>
        <w:t>系统边界；</w:t>
      </w:r>
    </w:p>
    <w:p w14:paraId="36CC7618">
      <w:pPr>
        <w:pStyle w:val="187"/>
      </w:pPr>
      <w:r>
        <w:rPr>
          <w:rFonts w:hint="eastAsia"/>
        </w:rPr>
        <w:t>取舍准则；</w:t>
      </w:r>
    </w:p>
    <w:p w14:paraId="5CDB483D">
      <w:pPr>
        <w:pStyle w:val="187"/>
      </w:pPr>
      <w:r>
        <w:rPr>
          <w:rFonts w:hint="eastAsia"/>
        </w:rPr>
        <w:t>生命周期各阶段的描述。</w:t>
      </w:r>
    </w:p>
    <w:p w14:paraId="636F3DF9">
      <w:pPr>
        <w:pStyle w:val="132"/>
      </w:pPr>
      <w:r>
        <w:rPr>
          <w:rFonts w:hint="eastAsia"/>
        </w:rPr>
        <w:t>清单分析</w:t>
      </w:r>
    </w:p>
    <w:p w14:paraId="3DA9764A">
      <w:pPr>
        <w:pStyle w:val="187"/>
      </w:pPr>
      <w:r>
        <w:rPr>
          <w:rFonts w:hint="eastAsia"/>
        </w:rPr>
        <w:t>数据收集信息，包括数据来源；</w:t>
      </w:r>
    </w:p>
    <w:p w14:paraId="292BBFE3">
      <w:pPr>
        <w:pStyle w:val="187"/>
      </w:pPr>
      <w:r>
        <w:rPr>
          <w:rFonts w:hint="eastAsia"/>
        </w:rPr>
        <w:t>重要的单元过程清单；</w:t>
      </w:r>
    </w:p>
    <w:p w14:paraId="0E6D3A7D">
      <w:pPr>
        <w:pStyle w:val="187"/>
      </w:pPr>
      <w:r>
        <w:rPr>
          <w:rFonts w:hint="eastAsia"/>
        </w:rPr>
        <w:t>纳入范围的温室气体清单；</w:t>
      </w:r>
    </w:p>
    <w:p w14:paraId="0F698AC8">
      <w:pPr>
        <w:pStyle w:val="187"/>
      </w:pPr>
      <w:r>
        <w:rPr>
          <w:rFonts w:hint="eastAsia"/>
        </w:rPr>
        <w:t>分配原则与程序；</w:t>
      </w:r>
    </w:p>
    <w:p w14:paraId="5EFDC510">
      <w:pPr>
        <w:pStyle w:val="187"/>
      </w:pPr>
      <w:r>
        <w:rPr>
          <w:rFonts w:hint="eastAsia"/>
        </w:rPr>
        <w:t>数据说明，包括有关数据的决定和数据质量评价。</w:t>
      </w:r>
    </w:p>
    <w:p w14:paraId="487DEFAC">
      <w:pPr>
        <w:pStyle w:val="132"/>
      </w:pPr>
      <w:r>
        <w:rPr>
          <w:rFonts w:hint="eastAsia"/>
        </w:rPr>
        <w:t>影响评价</w:t>
      </w:r>
    </w:p>
    <w:p w14:paraId="226072CD">
      <w:pPr>
        <w:pStyle w:val="187"/>
      </w:pPr>
      <w:r>
        <w:rPr>
          <w:rFonts w:hint="eastAsia"/>
        </w:rPr>
        <w:t>影响评价方法；</w:t>
      </w:r>
    </w:p>
    <w:p w14:paraId="6920E9BA">
      <w:pPr>
        <w:pStyle w:val="187"/>
      </w:pPr>
      <w:r>
        <w:rPr>
          <w:rFonts w:hint="eastAsia"/>
        </w:rPr>
        <w:t>特征化因子；</w:t>
      </w:r>
    </w:p>
    <w:p w14:paraId="2EB37ACF">
      <w:pPr>
        <w:pStyle w:val="187"/>
      </w:pPr>
      <w:r>
        <w:rPr>
          <w:rFonts w:hint="eastAsia"/>
        </w:rPr>
        <w:t>产品碳足迹或产品部分碳足迹计算；</w:t>
      </w:r>
    </w:p>
    <w:p w14:paraId="367B22CE">
      <w:pPr>
        <w:pStyle w:val="187"/>
      </w:pPr>
      <w:r>
        <w:rPr>
          <w:rFonts w:hint="eastAsia"/>
        </w:rPr>
        <w:t>结果图示（可选）。</w:t>
      </w:r>
    </w:p>
    <w:p w14:paraId="2CF2F6E1">
      <w:pPr>
        <w:pStyle w:val="132"/>
      </w:pPr>
      <w:r>
        <w:rPr>
          <w:rFonts w:hint="eastAsia"/>
        </w:rPr>
        <w:t>结果解释</w:t>
      </w:r>
    </w:p>
    <w:p w14:paraId="7FF5D87F">
      <w:pPr>
        <w:pStyle w:val="187"/>
      </w:pPr>
      <w:r>
        <w:rPr>
          <w:rFonts w:hint="eastAsia"/>
        </w:rPr>
        <w:t>结论和局限性；</w:t>
      </w:r>
    </w:p>
    <w:p w14:paraId="157F7A46">
      <w:pPr>
        <w:pStyle w:val="187"/>
      </w:pPr>
      <w:r>
        <w:rPr>
          <w:rFonts w:hint="eastAsia"/>
        </w:rPr>
        <w:t>敏感性分析和不确定性分析结果；</w:t>
      </w:r>
    </w:p>
    <w:p w14:paraId="568285E7">
      <w:pPr>
        <w:pStyle w:val="187"/>
      </w:pPr>
      <w:r>
        <w:rPr>
          <w:rFonts w:hint="eastAsia"/>
        </w:rPr>
        <w:t>电力处理，包括关于电网排放因子计算和相关电网的特殊局限信息。</w:t>
      </w:r>
    </w:p>
    <w:p w14:paraId="089F0729">
      <w:pPr>
        <w:pStyle w:val="187"/>
        <w:numPr>
          <w:ilvl w:val="0"/>
          <w:numId w:val="0"/>
        </w:numPr>
        <w:ind w:left="851"/>
      </w:pPr>
      <w:r>
        <w:rPr>
          <w:rFonts w:hint="eastAsia"/>
        </w:rPr>
        <w:t>服务碳足迹报告模板见附录E。</w:t>
      </w:r>
    </w:p>
    <w:p w14:paraId="6D7CBA5A">
      <w:pPr>
        <w:pStyle w:val="104"/>
        <w:spacing w:before="240" w:after="240"/>
      </w:pPr>
      <w:bookmarkStart w:id="90" w:name="_Toc231207646"/>
      <w:bookmarkStart w:id="91" w:name="_Toc231215118"/>
      <w:r>
        <w:rPr>
          <w:rFonts w:hint="eastAsia"/>
        </w:rPr>
        <w:t>碳足迹声明</w:t>
      </w:r>
      <w:bookmarkEnd w:id="90"/>
      <w:bookmarkEnd w:id="91"/>
    </w:p>
    <w:p w14:paraId="7C94FB8C">
      <w:pPr>
        <w:pStyle w:val="56"/>
        <w:ind w:firstLine="420"/>
      </w:pPr>
      <w:r>
        <w:rPr>
          <w:rFonts w:hint="eastAsia"/>
        </w:rPr>
        <w:t>可按照GB/T 24045-2024的规定开展服务碳足迹声明或信息交流，使具有同样功能的服务之间进行比较。应用本文件得到的产品碳足迹，其声明的发布应符合国家或地方的有关规定。</w:t>
      </w:r>
    </w:p>
    <w:p w14:paraId="29DB0CF1">
      <w:pPr>
        <w:pStyle w:val="56"/>
        <w:ind w:firstLine="420"/>
        <w:sectPr>
          <w:pgSz w:w="11906" w:h="16838"/>
          <w:pgMar w:top="1928" w:right="1134" w:bottom="1134" w:left="1134" w:header="1418" w:footer="1134" w:gutter="284"/>
          <w:pgNumType w:start="1"/>
          <w:cols w:space="425" w:num="1"/>
          <w:formProt w:val="0"/>
          <w:docGrid w:linePitch="312" w:charSpace="0"/>
        </w:sectPr>
      </w:pPr>
    </w:p>
    <w:bookmarkEnd w:id="23"/>
    <w:p w14:paraId="2647768D">
      <w:pPr>
        <w:pStyle w:val="198"/>
        <w:rPr>
          <w:rFonts w:hint="eastAsia"/>
          <w:vanish w:val="0"/>
        </w:rPr>
      </w:pPr>
      <w:bookmarkStart w:id="92" w:name="BookMark5"/>
    </w:p>
    <w:p w14:paraId="2FDC801B">
      <w:pPr>
        <w:pStyle w:val="199"/>
        <w:rPr>
          <w:vanish w:val="0"/>
        </w:rPr>
      </w:pPr>
    </w:p>
    <w:p w14:paraId="17C9602F">
      <w:pPr>
        <w:pStyle w:val="76"/>
        <w:spacing w:after="120"/>
      </w:pPr>
      <w:r>
        <w:br w:type="textWrapping"/>
      </w:r>
      <w:bookmarkStart w:id="93" w:name="_Toc231215119"/>
      <w:bookmarkStart w:id="94" w:name="_Toc231207647"/>
      <w:r>
        <w:rPr>
          <w:rFonts w:hint="eastAsia"/>
        </w:rPr>
        <w:t>（资料性）</w:t>
      </w:r>
      <w:r>
        <w:br w:type="textWrapping"/>
      </w:r>
      <w:r>
        <w:rPr>
          <w:rFonts w:hint="eastAsia"/>
        </w:rPr>
        <w:t>主要排放来源及排放节点识别</w:t>
      </w:r>
      <w:bookmarkEnd w:id="93"/>
      <w:bookmarkEnd w:id="94"/>
    </w:p>
    <w:p w14:paraId="265609B8">
      <w:pPr>
        <w:pStyle w:val="78"/>
        <w:spacing w:before="120" w:after="120"/>
      </w:pPr>
      <w:bookmarkStart w:id="95" w:name="_Toc231215120"/>
      <w:r>
        <w:rPr>
          <w:rFonts w:hint="eastAsia"/>
        </w:rPr>
        <w:t>港口集装箱/杂货/滚装装卸作业机械分类</w:t>
      </w:r>
      <w:bookmarkEnd w:id="95"/>
    </w:p>
    <w:p w14:paraId="5E3D3854">
      <w:pPr>
        <w:pStyle w:val="56"/>
        <w:ind w:firstLine="420"/>
      </w:pPr>
      <w:r>
        <w:rPr>
          <w:rFonts w:hint="eastAsia"/>
        </w:rPr>
        <w:t>按照港口集装箱/杂货/滚装装卸作业分工艺分为前沿装卸作业机械、堆场装卸作业机械、水平运输机械、专用设备和辅助设备，港口集装箱装卸作业机械类型见表A.1</w:t>
      </w:r>
    </w:p>
    <w:p w14:paraId="53BD1808">
      <w:pPr>
        <w:pStyle w:val="77"/>
        <w:spacing w:before="120" w:after="120"/>
      </w:pPr>
      <w:r>
        <w:rPr>
          <w:rFonts w:hint="eastAsia"/>
        </w:rPr>
        <w:t>港口集装箱/杂货/滚装装卸作业机械类型</w:t>
      </w:r>
    </w:p>
    <w:tbl>
      <w:tblPr>
        <w:tblStyle w:val="27"/>
        <w:tblW w:w="93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5"/>
        <w:gridCol w:w="7371"/>
      </w:tblGrid>
      <w:tr w14:paraId="59648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tcBorders>
              <w:top w:val="single" w:color="auto" w:sz="8" w:space="0"/>
              <w:left w:val="single" w:color="auto" w:sz="8" w:space="0"/>
              <w:bottom w:val="single" w:color="auto" w:sz="4" w:space="0"/>
              <w:right w:val="single" w:color="auto" w:sz="4" w:space="0"/>
            </w:tcBorders>
            <w:vAlign w:val="center"/>
          </w:tcPr>
          <w:p w14:paraId="504B1248">
            <w:pPr>
              <w:pStyle w:val="56"/>
              <w:ind w:firstLine="0" w:firstLineChars="0"/>
              <w:jc w:val="center"/>
            </w:pPr>
            <w:r>
              <w:rPr>
                <w:rFonts w:hint="eastAsia"/>
              </w:rPr>
              <w:t>机械分类</w:t>
            </w:r>
          </w:p>
        </w:tc>
        <w:tc>
          <w:tcPr>
            <w:tcW w:w="7371" w:type="dxa"/>
            <w:tcBorders>
              <w:top w:val="single" w:color="auto" w:sz="8" w:space="0"/>
              <w:left w:val="single" w:color="auto" w:sz="4" w:space="0"/>
              <w:bottom w:val="single" w:color="auto" w:sz="4" w:space="0"/>
              <w:right w:val="single" w:color="auto" w:sz="8" w:space="0"/>
            </w:tcBorders>
            <w:vAlign w:val="center"/>
          </w:tcPr>
          <w:p w14:paraId="6B092886">
            <w:pPr>
              <w:pStyle w:val="56"/>
              <w:ind w:firstLine="0" w:firstLineChars="0"/>
              <w:jc w:val="center"/>
            </w:pPr>
            <w:r>
              <w:rPr>
                <w:rFonts w:hint="eastAsia"/>
              </w:rPr>
              <w:t>主要港口机械类型</w:t>
            </w:r>
          </w:p>
        </w:tc>
      </w:tr>
      <w:tr w14:paraId="661D7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tcBorders>
              <w:top w:val="single" w:color="auto" w:sz="4" w:space="0"/>
              <w:left w:val="single" w:color="auto" w:sz="8" w:space="0"/>
              <w:bottom w:val="single" w:color="auto" w:sz="4" w:space="0"/>
              <w:right w:val="single" w:color="auto" w:sz="4" w:space="0"/>
            </w:tcBorders>
            <w:vAlign w:val="center"/>
          </w:tcPr>
          <w:p w14:paraId="012BBB26">
            <w:pPr>
              <w:pStyle w:val="56"/>
              <w:ind w:firstLine="0" w:firstLineChars="0"/>
              <w:jc w:val="center"/>
            </w:pPr>
            <w:r>
              <w:rPr>
                <w:rFonts w:hint="eastAsia"/>
              </w:rPr>
              <w:t>前沿装卸作业机械</w:t>
            </w:r>
          </w:p>
        </w:tc>
        <w:tc>
          <w:tcPr>
            <w:tcW w:w="7371" w:type="dxa"/>
            <w:tcBorders>
              <w:top w:val="single" w:color="auto" w:sz="4" w:space="0"/>
              <w:left w:val="single" w:color="auto" w:sz="4" w:space="0"/>
              <w:bottom w:val="single" w:color="auto" w:sz="4" w:space="0"/>
              <w:right w:val="single" w:color="auto" w:sz="8" w:space="0"/>
            </w:tcBorders>
            <w:vAlign w:val="center"/>
          </w:tcPr>
          <w:p w14:paraId="05B75AA7">
            <w:pPr>
              <w:pStyle w:val="56"/>
              <w:ind w:firstLine="0" w:firstLineChars="0"/>
              <w:jc w:val="center"/>
            </w:pPr>
            <w:r>
              <w:rPr>
                <w:rFonts w:hint="eastAsia"/>
              </w:rPr>
              <w:t>岸边集装箱起重机、门座起重机、轮胎式起重机、码头固定/活动滚装坡道</w:t>
            </w:r>
          </w:p>
        </w:tc>
      </w:tr>
      <w:tr w14:paraId="46A59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tcBorders>
              <w:top w:val="single" w:color="auto" w:sz="4" w:space="0"/>
              <w:left w:val="single" w:color="auto" w:sz="8" w:space="0"/>
              <w:bottom w:val="single" w:color="auto" w:sz="4" w:space="0"/>
              <w:right w:val="single" w:color="auto" w:sz="4" w:space="0"/>
            </w:tcBorders>
            <w:vAlign w:val="center"/>
          </w:tcPr>
          <w:p w14:paraId="1318159C">
            <w:pPr>
              <w:pStyle w:val="56"/>
              <w:ind w:firstLine="0" w:firstLineChars="0"/>
              <w:jc w:val="center"/>
            </w:pPr>
            <w:r>
              <w:rPr>
                <w:rFonts w:hint="eastAsia"/>
              </w:rPr>
              <w:t>堆场作业机械</w:t>
            </w:r>
          </w:p>
        </w:tc>
        <w:tc>
          <w:tcPr>
            <w:tcW w:w="7371" w:type="dxa"/>
            <w:tcBorders>
              <w:top w:val="single" w:color="auto" w:sz="4" w:space="0"/>
              <w:left w:val="single" w:color="auto" w:sz="4" w:space="0"/>
              <w:bottom w:val="single" w:color="auto" w:sz="4" w:space="0"/>
              <w:right w:val="single" w:color="auto" w:sz="8" w:space="0"/>
            </w:tcBorders>
            <w:vAlign w:val="center"/>
          </w:tcPr>
          <w:p w14:paraId="1E01D06D">
            <w:pPr>
              <w:pStyle w:val="56"/>
              <w:ind w:firstLine="0" w:firstLineChars="0"/>
              <w:jc w:val="center"/>
            </w:pPr>
            <w:r>
              <w:rPr>
                <w:rFonts w:hint="eastAsia"/>
              </w:rPr>
              <w:t>轨道式集装箱门式起重机、轮胎式集装箱门式起重机、集装箱正面吊、空箱堆高机、集装箱跨运车、叉车、抓料机 / 挖掘机等</w:t>
            </w:r>
          </w:p>
        </w:tc>
      </w:tr>
      <w:tr w14:paraId="040DB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tcBorders>
              <w:top w:val="single" w:color="auto" w:sz="4" w:space="0"/>
              <w:left w:val="single" w:color="auto" w:sz="8" w:space="0"/>
              <w:bottom w:val="single" w:color="auto" w:sz="4" w:space="0"/>
              <w:right w:val="single" w:color="auto" w:sz="4" w:space="0"/>
            </w:tcBorders>
            <w:vAlign w:val="center"/>
          </w:tcPr>
          <w:p w14:paraId="596165E9">
            <w:pPr>
              <w:pStyle w:val="56"/>
              <w:ind w:firstLine="0" w:firstLineChars="0"/>
              <w:jc w:val="center"/>
            </w:pPr>
            <w:r>
              <w:rPr>
                <w:rFonts w:hint="eastAsia"/>
              </w:rPr>
              <w:t>水平运输机械</w:t>
            </w:r>
          </w:p>
        </w:tc>
        <w:tc>
          <w:tcPr>
            <w:tcW w:w="7371" w:type="dxa"/>
            <w:tcBorders>
              <w:top w:val="single" w:color="auto" w:sz="4" w:space="0"/>
              <w:left w:val="single" w:color="auto" w:sz="4" w:space="0"/>
              <w:bottom w:val="single" w:color="auto" w:sz="4" w:space="0"/>
              <w:right w:val="single" w:color="auto" w:sz="8" w:space="0"/>
            </w:tcBorders>
            <w:vAlign w:val="center"/>
          </w:tcPr>
          <w:p w14:paraId="088F7F27">
            <w:pPr>
              <w:pStyle w:val="56"/>
              <w:ind w:firstLine="0" w:firstLineChars="0"/>
              <w:jc w:val="center"/>
            </w:pPr>
            <w:r>
              <w:rPr>
                <w:rFonts w:hint="eastAsia"/>
              </w:rPr>
              <w:t>集装箱牵引车、集装箱自动导引车（AGV）等</w:t>
            </w:r>
          </w:p>
        </w:tc>
      </w:tr>
      <w:tr w14:paraId="3A44A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tcBorders>
              <w:top w:val="single" w:color="auto" w:sz="4" w:space="0"/>
              <w:left w:val="single" w:color="auto" w:sz="8" w:space="0"/>
              <w:bottom w:val="single" w:color="auto" w:sz="4" w:space="0"/>
              <w:right w:val="single" w:color="auto" w:sz="4" w:space="0"/>
            </w:tcBorders>
            <w:vAlign w:val="center"/>
          </w:tcPr>
          <w:p w14:paraId="1D33B322">
            <w:pPr>
              <w:pStyle w:val="56"/>
              <w:ind w:firstLine="0" w:firstLineChars="0"/>
              <w:jc w:val="center"/>
            </w:pPr>
            <w:r>
              <w:rPr>
                <w:rFonts w:hint="eastAsia"/>
              </w:rPr>
              <w:t>专用设备</w:t>
            </w:r>
          </w:p>
        </w:tc>
        <w:tc>
          <w:tcPr>
            <w:tcW w:w="7371" w:type="dxa"/>
            <w:tcBorders>
              <w:top w:val="single" w:color="auto" w:sz="4" w:space="0"/>
              <w:left w:val="single" w:color="auto" w:sz="4" w:space="0"/>
              <w:bottom w:val="single" w:color="auto" w:sz="4" w:space="0"/>
              <w:right w:val="single" w:color="auto" w:sz="8" w:space="0"/>
            </w:tcBorders>
            <w:vAlign w:val="center"/>
          </w:tcPr>
          <w:p w14:paraId="636BD12D">
            <w:pPr>
              <w:pStyle w:val="56"/>
              <w:ind w:firstLine="0" w:firstLineChars="0"/>
              <w:jc w:val="center"/>
            </w:pPr>
            <w:r>
              <w:t>冷藏箱</w:t>
            </w:r>
            <w:r>
              <w:rPr>
                <w:rFonts w:hint="eastAsia"/>
              </w:rPr>
              <w:t>、集装箱调箱门设备等</w:t>
            </w:r>
          </w:p>
        </w:tc>
      </w:tr>
      <w:tr w14:paraId="3FDC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tcBorders>
              <w:top w:val="single" w:color="auto" w:sz="4" w:space="0"/>
              <w:left w:val="single" w:color="auto" w:sz="8" w:space="0"/>
              <w:bottom w:val="single" w:color="auto" w:sz="8" w:space="0"/>
              <w:right w:val="single" w:color="auto" w:sz="4" w:space="0"/>
            </w:tcBorders>
            <w:vAlign w:val="center"/>
          </w:tcPr>
          <w:p w14:paraId="76427FBB">
            <w:pPr>
              <w:pStyle w:val="56"/>
              <w:ind w:firstLine="0" w:firstLineChars="0"/>
              <w:jc w:val="center"/>
            </w:pPr>
            <w:r>
              <w:rPr>
                <w:rFonts w:hint="eastAsia"/>
              </w:rPr>
              <w:t>辅助设备</w:t>
            </w:r>
          </w:p>
        </w:tc>
        <w:tc>
          <w:tcPr>
            <w:tcW w:w="7371" w:type="dxa"/>
            <w:tcBorders>
              <w:top w:val="single" w:color="auto" w:sz="4" w:space="0"/>
              <w:left w:val="single" w:color="auto" w:sz="4" w:space="0"/>
              <w:bottom w:val="single" w:color="auto" w:sz="8" w:space="0"/>
              <w:right w:val="single" w:color="auto" w:sz="8" w:space="0"/>
            </w:tcBorders>
            <w:vAlign w:val="center"/>
          </w:tcPr>
          <w:p w14:paraId="702B1547">
            <w:pPr>
              <w:pStyle w:val="56"/>
              <w:ind w:firstLine="0" w:firstLineChars="0"/>
              <w:jc w:val="center"/>
            </w:pPr>
            <w:r>
              <w:t>清扫车、洒水车、装载机、高空作业平台、港口电梯 / 登船梯</w:t>
            </w:r>
          </w:p>
        </w:tc>
      </w:tr>
    </w:tbl>
    <w:p w14:paraId="6A887390">
      <w:pPr>
        <w:pStyle w:val="56"/>
        <w:ind w:firstLine="420"/>
      </w:pPr>
    </w:p>
    <w:p w14:paraId="5FB885F3">
      <w:pPr>
        <w:pStyle w:val="78"/>
        <w:spacing w:before="120" w:after="120"/>
      </w:pPr>
      <w:bookmarkStart w:id="96" w:name="_Toc231215121"/>
      <w:r>
        <w:rPr>
          <w:rFonts w:hint="eastAsia"/>
        </w:rPr>
        <w:t>排放节点识别与分析</w:t>
      </w:r>
      <w:bookmarkEnd w:id="96"/>
    </w:p>
    <w:p w14:paraId="617B9590">
      <w:pPr>
        <w:pStyle w:val="56"/>
        <w:ind w:firstLine="420"/>
      </w:pPr>
      <w:r>
        <w:rPr>
          <w:rFonts w:hint="eastAsia"/>
        </w:rPr>
        <w:t>基于港口功能、作业环节、机械功能、用能类别划分的港口集装箱装卸作业机械主要排放节点见表A.2。</w:t>
      </w:r>
    </w:p>
    <w:p w14:paraId="0C1C511B">
      <w:pPr>
        <w:pStyle w:val="77"/>
        <w:spacing w:before="120" w:after="120"/>
      </w:pPr>
      <w:r>
        <w:rPr>
          <w:rFonts w:hint="eastAsia"/>
        </w:rPr>
        <w:t>港口集装箱/杂货/滚装装卸作业机械主要排放节点</w:t>
      </w:r>
    </w:p>
    <w:tbl>
      <w:tblPr>
        <w:tblStyle w:val="27"/>
        <w:tblW w:w="93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552"/>
        <w:gridCol w:w="3260"/>
        <w:gridCol w:w="2410"/>
      </w:tblGrid>
      <w:tr w14:paraId="6AD90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tcBorders>
              <w:top w:val="single" w:color="auto" w:sz="8" w:space="0"/>
              <w:left w:val="single" w:color="auto" w:sz="8" w:space="0"/>
              <w:bottom w:val="single" w:color="auto" w:sz="4" w:space="0"/>
              <w:right w:val="single" w:color="auto" w:sz="4" w:space="0"/>
            </w:tcBorders>
            <w:vAlign w:val="center"/>
          </w:tcPr>
          <w:p w14:paraId="356027F1">
            <w:pPr>
              <w:pStyle w:val="56"/>
              <w:ind w:firstLine="0" w:firstLineChars="0"/>
              <w:jc w:val="center"/>
            </w:pPr>
            <w:r>
              <w:rPr>
                <w:rFonts w:hint="eastAsia"/>
              </w:rPr>
              <w:t>机械分类</w:t>
            </w:r>
          </w:p>
        </w:tc>
        <w:tc>
          <w:tcPr>
            <w:tcW w:w="2552" w:type="dxa"/>
            <w:tcBorders>
              <w:top w:val="single" w:color="auto" w:sz="8" w:space="0"/>
              <w:left w:val="single" w:color="auto" w:sz="4" w:space="0"/>
              <w:bottom w:val="single" w:color="auto" w:sz="4" w:space="0"/>
              <w:right w:val="single" w:color="auto" w:sz="4" w:space="0"/>
            </w:tcBorders>
            <w:vAlign w:val="center"/>
          </w:tcPr>
          <w:p w14:paraId="44E905B1">
            <w:pPr>
              <w:pStyle w:val="56"/>
              <w:ind w:firstLine="0" w:firstLineChars="0"/>
              <w:jc w:val="center"/>
            </w:pPr>
            <w:r>
              <w:rPr>
                <w:rFonts w:hint="eastAsia"/>
              </w:rPr>
              <w:t>对象</w:t>
            </w:r>
          </w:p>
        </w:tc>
        <w:tc>
          <w:tcPr>
            <w:tcW w:w="3260" w:type="dxa"/>
            <w:tcBorders>
              <w:top w:val="single" w:color="auto" w:sz="8" w:space="0"/>
              <w:left w:val="single" w:color="auto" w:sz="4" w:space="0"/>
              <w:bottom w:val="single" w:color="auto" w:sz="4" w:space="0"/>
              <w:right w:val="single" w:color="auto" w:sz="4" w:space="0"/>
            </w:tcBorders>
            <w:vAlign w:val="center"/>
          </w:tcPr>
          <w:p w14:paraId="3A8C3988">
            <w:pPr>
              <w:pStyle w:val="56"/>
              <w:ind w:firstLine="0" w:firstLineChars="0"/>
              <w:jc w:val="center"/>
            </w:pPr>
            <w:r>
              <w:rPr>
                <w:rFonts w:hint="eastAsia"/>
              </w:rPr>
              <w:t>适用港口类型</w:t>
            </w:r>
          </w:p>
        </w:tc>
        <w:tc>
          <w:tcPr>
            <w:tcW w:w="2410" w:type="dxa"/>
            <w:tcBorders>
              <w:top w:val="single" w:color="auto" w:sz="8" w:space="0"/>
              <w:left w:val="single" w:color="auto" w:sz="4" w:space="0"/>
              <w:bottom w:val="single" w:color="auto" w:sz="4" w:space="0"/>
              <w:right w:val="single" w:color="auto" w:sz="8" w:space="0"/>
            </w:tcBorders>
            <w:vAlign w:val="center"/>
          </w:tcPr>
          <w:p w14:paraId="3087F544">
            <w:pPr>
              <w:pStyle w:val="56"/>
              <w:ind w:firstLine="0" w:firstLineChars="0"/>
              <w:jc w:val="center"/>
            </w:pPr>
            <w:r>
              <w:rPr>
                <w:rFonts w:hint="eastAsia"/>
              </w:rPr>
              <w:t>用能类别</w:t>
            </w:r>
          </w:p>
        </w:tc>
      </w:tr>
      <w:tr w14:paraId="1775F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vMerge w:val="restart"/>
            <w:tcBorders>
              <w:top w:val="single" w:color="auto" w:sz="4" w:space="0"/>
              <w:left w:val="single" w:color="auto" w:sz="8" w:space="0"/>
              <w:bottom w:val="single" w:color="auto" w:sz="4" w:space="0"/>
              <w:right w:val="single" w:color="auto" w:sz="4" w:space="0"/>
            </w:tcBorders>
            <w:vAlign w:val="center"/>
          </w:tcPr>
          <w:p w14:paraId="235D6804">
            <w:pPr>
              <w:pStyle w:val="56"/>
              <w:ind w:firstLine="0" w:firstLineChars="0"/>
              <w:jc w:val="center"/>
            </w:pPr>
            <w:r>
              <w:rPr>
                <w:rFonts w:hint="eastAsia"/>
              </w:rPr>
              <w:t>前沿装卸设施/机械</w:t>
            </w:r>
          </w:p>
        </w:tc>
        <w:tc>
          <w:tcPr>
            <w:tcW w:w="2552" w:type="dxa"/>
            <w:tcBorders>
              <w:top w:val="single" w:color="auto" w:sz="4" w:space="0"/>
              <w:left w:val="single" w:color="auto" w:sz="4" w:space="0"/>
              <w:bottom w:val="single" w:color="auto" w:sz="4" w:space="0"/>
              <w:right w:val="single" w:color="auto" w:sz="4" w:space="0"/>
            </w:tcBorders>
            <w:vAlign w:val="center"/>
          </w:tcPr>
          <w:p w14:paraId="516C226A">
            <w:pPr>
              <w:pStyle w:val="56"/>
              <w:ind w:firstLine="0" w:firstLineChars="0"/>
              <w:jc w:val="center"/>
            </w:pPr>
            <w:r>
              <w:rPr>
                <w:rFonts w:hint="eastAsia"/>
              </w:rPr>
              <w:t>岸边集装箱起重机（岸桥/STS)</w:t>
            </w:r>
          </w:p>
        </w:tc>
        <w:tc>
          <w:tcPr>
            <w:tcW w:w="3260" w:type="dxa"/>
            <w:tcBorders>
              <w:top w:val="single" w:color="auto" w:sz="4" w:space="0"/>
              <w:left w:val="single" w:color="auto" w:sz="4" w:space="0"/>
              <w:bottom w:val="single" w:color="auto" w:sz="4" w:space="0"/>
              <w:right w:val="single" w:color="auto" w:sz="4" w:space="0"/>
            </w:tcBorders>
            <w:vAlign w:val="center"/>
          </w:tcPr>
          <w:p w14:paraId="3C7128DB">
            <w:pPr>
              <w:pStyle w:val="56"/>
              <w:ind w:firstLine="0" w:firstLineChars="0"/>
              <w:jc w:val="center"/>
            </w:pPr>
            <w:r>
              <w:rPr>
                <w:rFonts w:hint="eastAsia"/>
              </w:rPr>
              <w:t>集装箱码头</w:t>
            </w:r>
          </w:p>
        </w:tc>
        <w:tc>
          <w:tcPr>
            <w:tcW w:w="2410" w:type="dxa"/>
            <w:tcBorders>
              <w:top w:val="single" w:color="auto" w:sz="4" w:space="0"/>
              <w:left w:val="single" w:color="auto" w:sz="4" w:space="0"/>
              <w:bottom w:val="single" w:color="auto" w:sz="4" w:space="0"/>
              <w:right w:val="single" w:color="auto" w:sz="8" w:space="0"/>
            </w:tcBorders>
            <w:vAlign w:val="center"/>
          </w:tcPr>
          <w:p w14:paraId="5C39260F">
            <w:pPr>
              <w:pStyle w:val="56"/>
              <w:ind w:firstLine="0" w:firstLineChars="0"/>
              <w:jc w:val="center"/>
            </w:pPr>
            <w:r>
              <w:rPr>
                <w:rFonts w:hint="eastAsia"/>
              </w:rPr>
              <w:t>电力</w:t>
            </w:r>
          </w:p>
        </w:tc>
      </w:tr>
      <w:tr w14:paraId="0EBC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vMerge w:val="continue"/>
            <w:tcBorders>
              <w:top w:val="single" w:color="auto" w:sz="4" w:space="0"/>
              <w:left w:val="single" w:color="auto" w:sz="8" w:space="0"/>
              <w:bottom w:val="single" w:color="auto" w:sz="4" w:space="0"/>
              <w:right w:val="single" w:color="auto" w:sz="4" w:space="0"/>
            </w:tcBorders>
            <w:vAlign w:val="center"/>
          </w:tcPr>
          <w:p w14:paraId="23D4956C">
            <w:pPr>
              <w:pStyle w:val="56"/>
              <w:ind w:firstLine="420"/>
              <w:jc w:val="center"/>
            </w:pPr>
          </w:p>
        </w:tc>
        <w:tc>
          <w:tcPr>
            <w:tcW w:w="2552" w:type="dxa"/>
            <w:tcBorders>
              <w:top w:val="single" w:color="auto" w:sz="4" w:space="0"/>
              <w:left w:val="single" w:color="auto" w:sz="4" w:space="0"/>
              <w:bottom w:val="single" w:color="auto" w:sz="4" w:space="0"/>
              <w:right w:val="single" w:color="auto" w:sz="4" w:space="0"/>
            </w:tcBorders>
            <w:vAlign w:val="center"/>
          </w:tcPr>
          <w:p w14:paraId="2D752880">
            <w:pPr>
              <w:pStyle w:val="56"/>
              <w:ind w:firstLine="420"/>
              <w:jc w:val="center"/>
            </w:pPr>
            <w:r>
              <w:rPr>
                <w:rFonts w:hint="eastAsia"/>
              </w:rPr>
              <w:t>门座起重机（MQC）</w:t>
            </w:r>
          </w:p>
        </w:tc>
        <w:tc>
          <w:tcPr>
            <w:tcW w:w="3260" w:type="dxa"/>
            <w:tcBorders>
              <w:top w:val="single" w:color="auto" w:sz="4" w:space="0"/>
              <w:left w:val="single" w:color="auto" w:sz="4" w:space="0"/>
              <w:bottom w:val="single" w:color="auto" w:sz="4" w:space="0"/>
              <w:right w:val="single" w:color="auto" w:sz="4" w:space="0"/>
            </w:tcBorders>
            <w:vAlign w:val="center"/>
          </w:tcPr>
          <w:p w14:paraId="029F8F4B">
            <w:pPr>
              <w:pStyle w:val="56"/>
              <w:ind w:firstLine="0" w:firstLineChars="0"/>
              <w:jc w:val="center"/>
            </w:pPr>
            <w:r>
              <w:rPr>
                <w:rFonts w:hint="eastAsia"/>
              </w:rPr>
              <w:t>杂货码头 / 集装箱码头（辅助）</w:t>
            </w:r>
          </w:p>
        </w:tc>
        <w:tc>
          <w:tcPr>
            <w:tcW w:w="2410" w:type="dxa"/>
            <w:tcBorders>
              <w:top w:val="single" w:color="auto" w:sz="4" w:space="0"/>
              <w:left w:val="single" w:color="auto" w:sz="4" w:space="0"/>
              <w:bottom w:val="single" w:color="auto" w:sz="4" w:space="0"/>
              <w:right w:val="single" w:color="auto" w:sz="8" w:space="0"/>
            </w:tcBorders>
            <w:vAlign w:val="center"/>
          </w:tcPr>
          <w:p w14:paraId="3E48ED17">
            <w:pPr>
              <w:pStyle w:val="56"/>
              <w:ind w:firstLine="0" w:firstLineChars="0"/>
              <w:jc w:val="center"/>
            </w:pPr>
            <w:r>
              <w:rPr>
                <w:rFonts w:hint="eastAsia"/>
              </w:rPr>
              <w:t>电力</w:t>
            </w:r>
          </w:p>
        </w:tc>
      </w:tr>
      <w:tr w14:paraId="411B8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vMerge w:val="continue"/>
            <w:tcBorders>
              <w:top w:val="single" w:color="auto" w:sz="4" w:space="0"/>
              <w:left w:val="single" w:color="auto" w:sz="8" w:space="0"/>
              <w:bottom w:val="single" w:color="auto" w:sz="4" w:space="0"/>
              <w:right w:val="single" w:color="auto" w:sz="4" w:space="0"/>
            </w:tcBorders>
            <w:vAlign w:val="center"/>
          </w:tcPr>
          <w:p w14:paraId="6997B976">
            <w:pPr>
              <w:pStyle w:val="56"/>
              <w:ind w:firstLine="420"/>
              <w:jc w:val="center"/>
            </w:pPr>
          </w:p>
        </w:tc>
        <w:tc>
          <w:tcPr>
            <w:tcW w:w="2552" w:type="dxa"/>
            <w:tcBorders>
              <w:top w:val="single" w:color="auto" w:sz="4" w:space="0"/>
              <w:left w:val="single" w:color="auto" w:sz="4" w:space="0"/>
              <w:bottom w:val="single" w:color="auto" w:sz="4" w:space="0"/>
              <w:right w:val="single" w:color="auto" w:sz="4" w:space="0"/>
            </w:tcBorders>
            <w:vAlign w:val="center"/>
          </w:tcPr>
          <w:p w14:paraId="7CB2D7DA">
            <w:pPr>
              <w:pStyle w:val="56"/>
              <w:ind w:firstLine="420"/>
              <w:jc w:val="center"/>
            </w:pPr>
            <w:r>
              <w:rPr>
                <w:rFonts w:hint="eastAsia"/>
              </w:rPr>
              <w:t>轮胎式起重机（流动吊）</w:t>
            </w:r>
          </w:p>
        </w:tc>
        <w:tc>
          <w:tcPr>
            <w:tcW w:w="3260" w:type="dxa"/>
            <w:tcBorders>
              <w:top w:val="single" w:color="auto" w:sz="4" w:space="0"/>
              <w:left w:val="single" w:color="auto" w:sz="4" w:space="0"/>
              <w:bottom w:val="single" w:color="auto" w:sz="4" w:space="0"/>
              <w:right w:val="single" w:color="auto" w:sz="4" w:space="0"/>
            </w:tcBorders>
            <w:vAlign w:val="center"/>
          </w:tcPr>
          <w:p w14:paraId="740FCD4A">
            <w:pPr>
              <w:pStyle w:val="56"/>
              <w:ind w:firstLine="0" w:firstLineChars="0"/>
              <w:jc w:val="center"/>
            </w:pPr>
            <w:r>
              <w:rPr>
                <w:rFonts w:hint="eastAsia"/>
              </w:rPr>
              <w:t>杂货码头 / 滚装码头（辅助）</w:t>
            </w:r>
          </w:p>
        </w:tc>
        <w:tc>
          <w:tcPr>
            <w:tcW w:w="2410" w:type="dxa"/>
            <w:tcBorders>
              <w:top w:val="single" w:color="auto" w:sz="4" w:space="0"/>
              <w:left w:val="single" w:color="auto" w:sz="4" w:space="0"/>
              <w:bottom w:val="single" w:color="auto" w:sz="4" w:space="0"/>
              <w:right w:val="single" w:color="auto" w:sz="8" w:space="0"/>
            </w:tcBorders>
            <w:vAlign w:val="center"/>
          </w:tcPr>
          <w:p w14:paraId="1D437CE8">
            <w:pPr>
              <w:pStyle w:val="56"/>
              <w:ind w:firstLine="0" w:firstLineChars="0"/>
              <w:jc w:val="center"/>
            </w:pPr>
            <w:r>
              <w:rPr>
                <w:rFonts w:hint="eastAsia"/>
              </w:rPr>
              <w:t>柴油、电力</w:t>
            </w:r>
          </w:p>
        </w:tc>
      </w:tr>
      <w:tr w14:paraId="0392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vMerge w:val="continue"/>
            <w:tcBorders>
              <w:top w:val="single" w:color="auto" w:sz="4" w:space="0"/>
              <w:left w:val="single" w:color="auto" w:sz="8" w:space="0"/>
              <w:bottom w:val="single" w:color="auto" w:sz="4" w:space="0"/>
              <w:right w:val="single" w:color="auto" w:sz="4" w:space="0"/>
            </w:tcBorders>
            <w:vAlign w:val="center"/>
          </w:tcPr>
          <w:p w14:paraId="5943E802">
            <w:pPr>
              <w:pStyle w:val="56"/>
              <w:ind w:firstLine="420"/>
              <w:jc w:val="center"/>
            </w:pPr>
          </w:p>
        </w:tc>
        <w:tc>
          <w:tcPr>
            <w:tcW w:w="2552" w:type="dxa"/>
            <w:tcBorders>
              <w:top w:val="single" w:color="auto" w:sz="4" w:space="0"/>
              <w:left w:val="single" w:color="auto" w:sz="4" w:space="0"/>
              <w:bottom w:val="single" w:color="auto" w:sz="4" w:space="0"/>
              <w:right w:val="single" w:color="auto" w:sz="4" w:space="0"/>
            </w:tcBorders>
            <w:vAlign w:val="center"/>
          </w:tcPr>
          <w:p w14:paraId="1D287204">
            <w:pPr>
              <w:pStyle w:val="56"/>
              <w:ind w:firstLine="420"/>
              <w:jc w:val="center"/>
            </w:pPr>
            <w:r>
              <w:rPr>
                <w:rFonts w:hint="eastAsia"/>
              </w:rPr>
              <w:t>码头固定 / 活动滚装坡道</w:t>
            </w:r>
          </w:p>
        </w:tc>
        <w:tc>
          <w:tcPr>
            <w:tcW w:w="3260" w:type="dxa"/>
            <w:tcBorders>
              <w:top w:val="single" w:color="auto" w:sz="4" w:space="0"/>
              <w:left w:val="single" w:color="auto" w:sz="4" w:space="0"/>
              <w:bottom w:val="single" w:color="auto" w:sz="4" w:space="0"/>
              <w:right w:val="single" w:color="auto" w:sz="4" w:space="0"/>
            </w:tcBorders>
            <w:vAlign w:val="center"/>
          </w:tcPr>
          <w:p w14:paraId="33AABC66">
            <w:pPr>
              <w:pStyle w:val="56"/>
              <w:ind w:firstLine="0" w:firstLineChars="0"/>
              <w:jc w:val="center"/>
            </w:pPr>
            <w:r>
              <w:rPr>
                <w:rFonts w:hint="eastAsia"/>
              </w:rPr>
              <w:t>滚装码头</w:t>
            </w:r>
          </w:p>
        </w:tc>
        <w:tc>
          <w:tcPr>
            <w:tcW w:w="2410" w:type="dxa"/>
            <w:tcBorders>
              <w:top w:val="single" w:color="auto" w:sz="4" w:space="0"/>
              <w:left w:val="single" w:color="auto" w:sz="4" w:space="0"/>
              <w:bottom w:val="single" w:color="auto" w:sz="4" w:space="0"/>
              <w:right w:val="single" w:color="auto" w:sz="8" w:space="0"/>
            </w:tcBorders>
            <w:vAlign w:val="center"/>
          </w:tcPr>
          <w:p w14:paraId="380A70B1">
            <w:pPr>
              <w:pStyle w:val="56"/>
              <w:ind w:firstLine="0" w:firstLineChars="0"/>
              <w:jc w:val="center"/>
            </w:pPr>
            <w:r>
              <w:rPr>
                <w:rFonts w:hint="eastAsia"/>
              </w:rPr>
              <w:t>电力</w:t>
            </w:r>
          </w:p>
        </w:tc>
      </w:tr>
      <w:tr w14:paraId="41DCF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vMerge w:val="restart"/>
            <w:tcBorders>
              <w:top w:val="single" w:color="auto" w:sz="4" w:space="0"/>
              <w:left w:val="single" w:color="auto" w:sz="8" w:space="0"/>
              <w:bottom w:val="single" w:color="auto" w:sz="4" w:space="0"/>
              <w:right w:val="single" w:color="auto" w:sz="4" w:space="0"/>
            </w:tcBorders>
            <w:vAlign w:val="center"/>
          </w:tcPr>
          <w:p w14:paraId="16599D0E">
            <w:pPr>
              <w:pStyle w:val="56"/>
              <w:ind w:firstLine="0" w:firstLineChars="0"/>
              <w:jc w:val="center"/>
            </w:pPr>
            <w:r>
              <w:rPr>
                <w:rFonts w:hint="eastAsia"/>
              </w:rPr>
              <w:t>堆场装卸机械</w:t>
            </w:r>
          </w:p>
        </w:tc>
        <w:tc>
          <w:tcPr>
            <w:tcW w:w="2552" w:type="dxa"/>
            <w:tcBorders>
              <w:top w:val="single" w:color="auto" w:sz="4" w:space="0"/>
              <w:left w:val="single" w:color="auto" w:sz="4" w:space="0"/>
              <w:bottom w:val="single" w:color="auto" w:sz="4" w:space="0"/>
              <w:right w:val="single" w:color="auto" w:sz="4" w:space="0"/>
            </w:tcBorders>
            <w:vAlign w:val="center"/>
          </w:tcPr>
          <w:p w14:paraId="06EAD2F1">
            <w:pPr>
              <w:pStyle w:val="56"/>
              <w:ind w:firstLine="420"/>
              <w:jc w:val="center"/>
            </w:pPr>
            <w:r>
              <w:rPr>
                <w:rFonts w:hint="eastAsia"/>
              </w:rPr>
              <w:t>轨道式集装箱门式起重机（RMG）</w:t>
            </w:r>
          </w:p>
        </w:tc>
        <w:tc>
          <w:tcPr>
            <w:tcW w:w="3260" w:type="dxa"/>
            <w:tcBorders>
              <w:top w:val="single" w:color="auto" w:sz="4" w:space="0"/>
              <w:left w:val="single" w:color="auto" w:sz="4" w:space="0"/>
              <w:bottom w:val="single" w:color="auto" w:sz="4" w:space="0"/>
              <w:right w:val="single" w:color="auto" w:sz="4" w:space="0"/>
            </w:tcBorders>
            <w:vAlign w:val="center"/>
          </w:tcPr>
          <w:p w14:paraId="79AB2B82">
            <w:pPr>
              <w:pStyle w:val="56"/>
              <w:ind w:firstLine="0" w:firstLineChars="0"/>
              <w:jc w:val="center"/>
            </w:pPr>
            <w:r>
              <w:rPr>
                <w:rFonts w:hint="eastAsia"/>
              </w:rPr>
              <w:t>集装箱码头</w:t>
            </w:r>
          </w:p>
        </w:tc>
        <w:tc>
          <w:tcPr>
            <w:tcW w:w="2410" w:type="dxa"/>
            <w:tcBorders>
              <w:top w:val="single" w:color="auto" w:sz="4" w:space="0"/>
              <w:left w:val="single" w:color="auto" w:sz="4" w:space="0"/>
              <w:bottom w:val="single" w:color="auto" w:sz="4" w:space="0"/>
              <w:right w:val="single" w:color="auto" w:sz="8" w:space="0"/>
            </w:tcBorders>
            <w:vAlign w:val="center"/>
          </w:tcPr>
          <w:p w14:paraId="36B110C4">
            <w:pPr>
              <w:pStyle w:val="56"/>
              <w:ind w:firstLine="0" w:firstLineChars="0"/>
              <w:jc w:val="center"/>
            </w:pPr>
            <w:r>
              <w:rPr>
                <w:rFonts w:hint="eastAsia"/>
              </w:rPr>
              <w:t>电力</w:t>
            </w:r>
          </w:p>
        </w:tc>
      </w:tr>
      <w:tr w14:paraId="5715A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vMerge w:val="continue"/>
            <w:tcBorders>
              <w:top w:val="single" w:color="auto" w:sz="4" w:space="0"/>
              <w:left w:val="single" w:color="auto" w:sz="8" w:space="0"/>
              <w:bottom w:val="single" w:color="auto" w:sz="4" w:space="0"/>
              <w:right w:val="single" w:color="auto" w:sz="4" w:space="0"/>
            </w:tcBorders>
            <w:vAlign w:val="center"/>
          </w:tcPr>
          <w:p w14:paraId="5401E716">
            <w:pPr>
              <w:pStyle w:val="56"/>
              <w:ind w:firstLine="420"/>
              <w:jc w:val="center"/>
            </w:pPr>
          </w:p>
        </w:tc>
        <w:tc>
          <w:tcPr>
            <w:tcW w:w="2552" w:type="dxa"/>
            <w:tcBorders>
              <w:top w:val="single" w:color="auto" w:sz="4" w:space="0"/>
              <w:left w:val="single" w:color="auto" w:sz="4" w:space="0"/>
              <w:bottom w:val="single" w:color="auto" w:sz="4" w:space="0"/>
              <w:right w:val="single" w:color="auto" w:sz="4" w:space="0"/>
            </w:tcBorders>
            <w:vAlign w:val="center"/>
          </w:tcPr>
          <w:p w14:paraId="680B195F">
            <w:pPr>
              <w:pStyle w:val="56"/>
              <w:ind w:firstLine="420"/>
              <w:jc w:val="center"/>
            </w:pPr>
            <w:r>
              <w:rPr>
                <w:rFonts w:hint="eastAsia"/>
              </w:rPr>
              <w:t>轮胎式集装箱门式起重机（RTG）</w:t>
            </w:r>
          </w:p>
        </w:tc>
        <w:tc>
          <w:tcPr>
            <w:tcW w:w="3260" w:type="dxa"/>
            <w:tcBorders>
              <w:top w:val="single" w:color="auto" w:sz="4" w:space="0"/>
              <w:left w:val="single" w:color="auto" w:sz="4" w:space="0"/>
              <w:bottom w:val="single" w:color="auto" w:sz="4" w:space="0"/>
              <w:right w:val="single" w:color="auto" w:sz="4" w:space="0"/>
            </w:tcBorders>
            <w:vAlign w:val="center"/>
          </w:tcPr>
          <w:p w14:paraId="0CD93E50">
            <w:pPr>
              <w:pStyle w:val="56"/>
              <w:ind w:firstLine="0" w:firstLineChars="0"/>
              <w:jc w:val="center"/>
            </w:pPr>
            <w:r>
              <w:rPr>
                <w:rFonts w:hint="eastAsia"/>
              </w:rPr>
              <w:t>集装箱码头</w:t>
            </w:r>
          </w:p>
        </w:tc>
        <w:tc>
          <w:tcPr>
            <w:tcW w:w="2410" w:type="dxa"/>
            <w:tcBorders>
              <w:top w:val="single" w:color="auto" w:sz="4" w:space="0"/>
              <w:left w:val="single" w:color="auto" w:sz="4" w:space="0"/>
              <w:bottom w:val="single" w:color="auto" w:sz="4" w:space="0"/>
              <w:right w:val="single" w:color="auto" w:sz="8" w:space="0"/>
            </w:tcBorders>
            <w:vAlign w:val="center"/>
          </w:tcPr>
          <w:p w14:paraId="05382CA7">
            <w:pPr>
              <w:pStyle w:val="56"/>
              <w:ind w:firstLine="0" w:firstLineChars="0"/>
              <w:jc w:val="center"/>
            </w:pPr>
            <w:r>
              <w:rPr>
                <w:rFonts w:hint="eastAsia"/>
              </w:rPr>
              <w:t>电力、柴油、混合动力</w:t>
            </w:r>
          </w:p>
        </w:tc>
      </w:tr>
      <w:tr w14:paraId="319F6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vMerge w:val="continue"/>
            <w:tcBorders>
              <w:top w:val="single" w:color="auto" w:sz="4" w:space="0"/>
              <w:left w:val="single" w:color="auto" w:sz="8" w:space="0"/>
              <w:bottom w:val="single" w:color="auto" w:sz="4" w:space="0"/>
              <w:right w:val="single" w:color="auto" w:sz="4" w:space="0"/>
            </w:tcBorders>
            <w:vAlign w:val="center"/>
          </w:tcPr>
          <w:p w14:paraId="75E2A7A8">
            <w:pPr>
              <w:pStyle w:val="56"/>
              <w:ind w:firstLine="420"/>
              <w:jc w:val="center"/>
            </w:pPr>
          </w:p>
        </w:tc>
        <w:tc>
          <w:tcPr>
            <w:tcW w:w="2552" w:type="dxa"/>
            <w:tcBorders>
              <w:top w:val="single" w:color="auto" w:sz="4" w:space="0"/>
              <w:left w:val="single" w:color="auto" w:sz="4" w:space="0"/>
              <w:bottom w:val="single" w:color="auto" w:sz="4" w:space="0"/>
              <w:right w:val="single" w:color="auto" w:sz="4" w:space="0"/>
            </w:tcBorders>
            <w:vAlign w:val="center"/>
          </w:tcPr>
          <w:p w14:paraId="1346C189">
            <w:pPr>
              <w:pStyle w:val="56"/>
              <w:ind w:firstLine="420"/>
              <w:jc w:val="center"/>
            </w:pPr>
            <w:r>
              <w:rPr>
                <w:rFonts w:hint="eastAsia"/>
              </w:rPr>
              <w:t>集装箱正面吊</w:t>
            </w:r>
          </w:p>
        </w:tc>
        <w:tc>
          <w:tcPr>
            <w:tcW w:w="3260" w:type="dxa"/>
            <w:tcBorders>
              <w:top w:val="single" w:color="auto" w:sz="4" w:space="0"/>
              <w:left w:val="single" w:color="auto" w:sz="4" w:space="0"/>
              <w:bottom w:val="single" w:color="auto" w:sz="4" w:space="0"/>
              <w:right w:val="single" w:color="auto" w:sz="4" w:space="0"/>
            </w:tcBorders>
            <w:vAlign w:val="center"/>
          </w:tcPr>
          <w:p w14:paraId="1C7B4EA8">
            <w:pPr>
              <w:pStyle w:val="56"/>
              <w:ind w:firstLine="0" w:firstLineChars="0"/>
              <w:jc w:val="center"/>
            </w:pPr>
            <w:r>
              <w:rPr>
                <w:rFonts w:hint="eastAsia"/>
              </w:rPr>
              <w:t>集装箱码头/杂货码头</w:t>
            </w:r>
          </w:p>
        </w:tc>
        <w:tc>
          <w:tcPr>
            <w:tcW w:w="2410" w:type="dxa"/>
            <w:tcBorders>
              <w:top w:val="single" w:color="auto" w:sz="4" w:space="0"/>
              <w:left w:val="single" w:color="auto" w:sz="4" w:space="0"/>
              <w:bottom w:val="single" w:color="auto" w:sz="4" w:space="0"/>
              <w:right w:val="single" w:color="auto" w:sz="8" w:space="0"/>
            </w:tcBorders>
            <w:vAlign w:val="center"/>
          </w:tcPr>
          <w:p w14:paraId="41854B1D">
            <w:pPr>
              <w:pStyle w:val="56"/>
              <w:ind w:firstLine="0" w:firstLineChars="0"/>
              <w:jc w:val="center"/>
            </w:pPr>
            <w:r>
              <w:rPr>
                <w:rFonts w:hint="eastAsia"/>
              </w:rPr>
              <w:t>柴油、电力、混合动力</w:t>
            </w:r>
          </w:p>
        </w:tc>
      </w:tr>
      <w:tr w14:paraId="6EF36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vMerge w:val="continue"/>
            <w:tcBorders>
              <w:top w:val="single" w:color="auto" w:sz="4" w:space="0"/>
              <w:left w:val="single" w:color="auto" w:sz="8" w:space="0"/>
              <w:bottom w:val="single" w:color="auto" w:sz="4" w:space="0"/>
              <w:right w:val="single" w:color="auto" w:sz="4" w:space="0"/>
            </w:tcBorders>
            <w:vAlign w:val="center"/>
          </w:tcPr>
          <w:p w14:paraId="4B4C12E0">
            <w:pPr>
              <w:pStyle w:val="56"/>
              <w:ind w:firstLine="420"/>
              <w:jc w:val="center"/>
            </w:pPr>
          </w:p>
        </w:tc>
        <w:tc>
          <w:tcPr>
            <w:tcW w:w="2552" w:type="dxa"/>
            <w:tcBorders>
              <w:top w:val="single" w:color="auto" w:sz="4" w:space="0"/>
              <w:left w:val="single" w:color="auto" w:sz="4" w:space="0"/>
              <w:bottom w:val="single" w:color="auto" w:sz="4" w:space="0"/>
              <w:right w:val="single" w:color="auto" w:sz="4" w:space="0"/>
            </w:tcBorders>
            <w:vAlign w:val="center"/>
          </w:tcPr>
          <w:p w14:paraId="407D03E6">
            <w:pPr>
              <w:pStyle w:val="56"/>
              <w:ind w:firstLine="420"/>
              <w:jc w:val="center"/>
            </w:pPr>
            <w:r>
              <w:rPr>
                <w:rFonts w:hint="eastAsia"/>
              </w:rPr>
              <w:t>空箱堆高机</w:t>
            </w:r>
          </w:p>
        </w:tc>
        <w:tc>
          <w:tcPr>
            <w:tcW w:w="3260" w:type="dxa"/>
            <w:tcBorders>
              <w:top w:val="single" w:color="auto" w:sz="4" w:space="0"/>
              <w:left w:val="single" w:color="auto" w:sz="4" w:space="0"/>
              <w:bottom w:val="single" w:color="auto" w:sz="4" w:space="0"/>
              <w:right w:val="single" w:color="auto" w:sz="4" w:space="0"/>
            </w:tcBorders>
            <w:vAlign w:val="center"/>
          </w:tcPr>
          <w:p w14:paraId="170B774F">
            <w:pPr>
              <w:pStyle w:val="56"/>
              <w:ind w:firstLine="0" w:firstLineChars="0"/>
              <w:jc w:val="center"/>
            </w:pPr>
            <w:r>
              <w:rPr>
                <w:rFonts w:hint="eastAsia"/>
              </w:rPr>
              <w:t>集装箱码头</w:t>
            </w:r>
          </w:p>
        </w:tc>
        <w:tc>
          <w:tcPr>
            <w:tcW w:w="2410" w:type="dxa"/>
            <w:tcBorders>
              <w:top w:val="single" w:color="auto" w:sz="4" w:space="0"/>
              <w:left w:val="single" w:color="auto" w:sz="4" w:space="0"/>
              <w:bottom w:val="single" w:color="auto" w:sz="4" w:space="0"/>
              <w:right w:val="single" w:color="auto" w:sz="8" w:space="0"/>
            </w:tcBorders>
            <w:vAlign w:val="center"/>
          </w:tcPr>
          <w:p w14:paraId="2DECC2A1">
            <w:pPr>
              <w:pStyle w:val="56"/>
              <w:ind w:firstLine="0" w:firstLineChars="0"/>
              <w:jc w:val="center"/>
            </w:pPr>
            <w:r>
              <w:rPr>
                <w:rFonts w:hint="eastAsia"/>
              </w:rPr>
              <w:t>柴油、电力、混合动力</w:t>
            </w:r>
          </w:p>
        </w:tc>
      </w:tr>
      <w:tr w14:paraId="7F12A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vMerge w:val="continue"/>
            <w:tcBorders>
              <w:top w:val="single" w:color="auto" w:sz="4" w:space="0"/>
              <w:left w:val="single" w:color="auto" w:sz="8" w:space="0"/>
              <w:bottom w:val="single" w:color="auto" w:sz="4" w:space="0"/>
              <w:right w:val="single" w:color="auto" w:sz="4" w:space="0"/>
            </w:tcBorders>
            <w:vAlign w:val="center"/>
          </w:tcPr>
          <w:p w14:paraId="0A8685ED">
            <w:pPr>
              <w:pStyle w:val="56"/>
              <w:ind w:firstLine="420"/>
              <w:jc w:val="center"/>
            </w:pPr>
          </w:p>
        </w:tc>
        <w:tc>
          <w:tcPr>
            <w:tcW w:w="2552" w:type="dxa"/>
            <w:tcBorders>
              <w:top w:val="single" w:color="auto" w:sz="4" w:space="0"/>
              <w:left w:val="single" w:color="auto" w:sz="4" w:space="0"/>
              <w:bottom w:val="single" w:color="auto" w:sz="4" w:space="0"/>
              <w:right w:val="single" w:color="auto" w:sz="4" w:space="0"/>
            </w:tcBorders>
            <w:vAlign w:val="center"/>
          </w:tcPr>
          <w:p w14:paraId="65CC96A8">
            <w:pPr>
              <w:pStyle w:val="56"/>
              <w:ind w:firstLine="420"/>
              <w:jc w:val="center"/>
            </w:pPr>
            <w:r>
              <w:rPr>
                <w:rFonts w:hint="eastAsia"/>
              </w:rPr>
              <w:t>集装箱跨运车</w:t>
            </w:r>
          </w:p>
        </w:tc>
        <w:tc>
          <w:tcPr>
            <w:tcW w:w="3260" w:type="dxa"/>
            <w:tcBorders>
              <w:top w:val="single" w:color="auto" w:sz="4" w:space="0"/>
              <w:left w:val="single" w:color="auto" w:sz="4" w:space="0"/>
              <w:bottom w:val="single" w:color="auto" w:sz="4" w:space="0"/>
              <w:right w:val="single" w:color="auto" w:sz="4" w:space="0"/>
            </w:tcBorders>
            <w:vAlign w:val="center"/>
          </w:tcPr>
          <w:p w14:paraId="74BCA8C2">
            <w:pPr>
              <w:pStyle w:val="56"/>
              <w:ind w:firstLine="0" w:firstLineChars="0"/>
              <w:jc w:val="center"/>
            </w:pPr>
            <w:r>
              <w:rPr>
                <w:rFonts w:hint="eastAsia"/>
              </w:rPr>
              <w:t>集装箱码头</w:t>
            </w:r>
          </w:p>
        </w:tc>
        <w:tc>
          <w:tcPr>
            <w:tcW w:w="2410" w:type="dxa"/>
            <w:tcBorders>
              <w:top w:val="single" w:color="auto" w:sz="4" w:space="0"/>
              <w:left w:val="single" w:color="auto" w:sz="4" w:space="0"/>
              <w:bottom w:val="single" w:color="auto" w:sz="4" w:space="0"/>
              <w:right w:val="single" w:color="auto" w:sz="8" w:space="0"/>
            </w:tcBorders>
            <w:vAlign w:val="center"/>
          </w:tcPr>
          <w:p w14:paraId="04A312BE">
            <w:pPr>
              <w:pStyle w:val="56"/>
              <w:ind w:firstLine="0" w:firstLineChars="0"/>
              <w:jc w:val="center"/>
            </w:pPr>
            <w:r>
              <w:rPr>
                <w:rFonts w:hint="eastAsia"/>
              </w:rPr>
              <w:t>柴油、电力、混合动力</w:t>
            </w:r>
          </w:p>
        </w:tc>
      </w:tr>
      <w:tr w14:paraId="7BA2B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vMerge w:val="continue"/>
            <w:tcBorders>
              <w:top w:val="single" w:color="auto" w:sz="4" w:space="0"/>
              <w:left w:val="single" w:color="auto" w:sz="8" w:space="0"/>
              <w:bottom w:val="single" w:color="auto" w:sz="4" w:space="0"/>
              <w:right w:val="single" w:color="auto" w:sz="4" w:space="0"/>
            </w:tcBorders>
            <w:vAlign w:val="center"/>
          </w:tcPr>
          <w:p w14:paraId="0943FCF4">
            <w:pPr>
              <w:pStyle w:val="56"/>
              <w:ind w:firstLine="420"/>
              <w:jc w:val="center"/>
            </w:pPr>
          </w:p>
        </w:tc>
        <w:tc>
          <w:tcPr>
            <w:tcW w:w="2552" w:type="dxa"/>
            <w:tcBorders>
              <w:top w:val="single" w:color="auto" w:sz="4" w:space="0"/>
              <w:left w:val="single" w:color="auto" w:sz="4" w:space="0"/>
              <w:bottom w:val="single" w:color="auto" w:sz="4" w:space="0"/>
              <w:right w:val="single" w:color="auto" w:sz="4" w:space="0"/>
            </w:tcBorders>
            <w:vAlign w:val="center"/>
          </w:tcPr>
          <w:p w14:paraId="104BE566">
            <w:pPr>
              <w:pStyle w:val="56"/>
              <w:ind w:firstLine="0" w:firstLineChars="0"/>
              <w:jc w:val="center"/>
            </w:pPr>
            <w:r>
              <w:rPr>
                <w:rFonts w:hint="eastAsia"/>
              </w:rPr>
              <w:t>叉车（含内燃 / 电动）</w:t>
            </w:r>
          </w:p>
        </w:tc>
        <w:tc>
          <w:tcPr>
            <w:tcW w:w="3260" w:type="dxa"/>
            <w:tcBorders>
              <w:top w:val="single" w:color="auto" w:sz="4" w:space="0"/>
              <w:left w:val="single" w:color="auto" w:sz="4" w:space="0"/>
              <w:bottom w:val="single" w:color="auto" w:sz="4" w:space="0"/>
              <w:right w:val="single" w:color="auto" w:sz="4" w:space="0"/>
            </w:tcBorders>
            <w:vAlign w:val="center"/>
          </w:tcPr>
          <w:p w14:paraId="4AAC3BD7">
            <w:pPr>
              <w:pStyle w:val="56"/>
              <w:ind w:firstLine="0" w:firstLineChars="0"/>
              <w:jc w:val="center"/>
            </w:pPr>
            <w:r>
              <w:rPr>
                <w:rFonts w:hint="eastAsia"/>
              </w:rPr>
              <w:t>杂货码头 / 滚装码头 / 集装箱码头（辅助）</w:t>
            </w:r>
          </w:p>
        </w:tc>
        <w:tc>
          <w:tcPr>
            <w:tcW w:w="2410" w:type="dxa"/>
            <w:tcBorders>
              <w:top w:val="single" w:color="auto" w:sz="4" w:space="0"/>
              <w:left w:val="single" w:color="auto" w:sz="4" w:space="0"/>
              <w:bottom w:val="single" w:color="auto" w:sz="4" w:space="0"/>
              <w:right w:val="single" w:color="auto" w:sz="8" w:space="0"/>
            </w:tcBorders>
            <w:vAlign w:val="center"/>
          </w:tcPr>
          <w:p w14:paraId="4C809360">
            <w:pPr>
              <w:pStyle w:val="56"/>
              <w:ind w:firstLine="0" w:firstLineChars="0"/>
              <w:jc w:val="center"/>
            </w:pPr>
            <w:r>
              <w:rPr>
                <w:rFonts w:hint="eastAsia"/>
              </w:rPr>
              <w:t>柴油、电力</w:t>
            </w:r>
          </w:p>
        </w:tc>
      </w:tr>
      <w:tr w14:paraId="2C1B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vMerge w:val="continue"/>
            <w:tcBorders>
              <w:top w:val="single" w:color="auto" w:sz="4" w:space="0"/>
              <w:left w:val="single" w:color="auto" w:sz="8" w:space="0"/>
              <w:bottom w:val="single" w:color="auto" w:sz="4" w:space="0"/>
              <w:right w:val="single" w:color="auto" w:sz="4" w:space="0"/>
            </w:tcBorders>
            <w:vAlign w:val="center"/>
          </w:tcPr>
          <w:p w14:paraId="2C2435FC">
            <w:pPr>
              <w:pStyle w:val="56"/>
              <w:ind w:firstLine="420"/>
              <w:jc w:val="center"/>
            </w:pPr>
          </w:p>
        </w:tc>
        <w:tc>
          <w:tcPr>
            <w:tcW w:w="2552" w:type="dxa"/>
            <w:tcBorders>
              <w:top w:val="single" w:color="auto" w:sz="4" w:space="0"/>
              <w:left w:val="single" w:color="auto" w:sz="4" w:space="0"/>
              <w:bottom w:val="single" w:color="auto" w:sz="4" w:space="0"/>
              <w:right w:val="single" w:color="auto" w:sz="4" w:space="0"/>
            </w:tcBorders>
            <w:vAlign w:val="center"/>
          </w:tcPr>
          <w:p w14:paraId="0437E249">
            <w:pPr>
              <w:pStyle w:val="56"/>
              <w:ind w:firstLine="420"/>
              <w:jc w:val="center"/>
            </w:pPr>
            <w:r>
              <w:rPr>
                <w:rFonts w:hint="eastAsia"/>
              </w:rPr>
              <w:t>抓料机 / 挖掘机</w:t>
            </w:r>
          </w:p>
        </w:tc>
        <w:tc>
          <w:tcPr>
            <w:tcW w:w="3260" w:type="dxa"/>
            <w:tcBorders>
              <w:top w:val="single" w:color="auto" w:sz="4" w:space="0"/>
              <w:left w:val="single" w:color="auto" w:sz="4" w:space="0"/>
              <w:bottom w:val="single" w:color="auto" w:sz="4" w:space="0"/>
              <w:right w:val="single" w:color="auto" w:sz="4" w:space="0"/>
            </w:tcBorders>
            <w:vAlign w:val="center"/>
          </w:tcPr>
          <w:p w14:paraId="6EF0C6E9">
            <w:pPr>
              <w:pStyle w:val="56"/>
              <w:ind w:firstLine="0" w:firstLineChars="0"/>
              <w:jc w:val="center"/>
            </w:pPr>
            <w:r>
              <w:t>杂货码头 / 散杂码头</w:t>
            </w:r>
          </w:p>
        </w:tc>
        <w:tc>
          <w:tcPr>
            <w:tcW w:w="2410" w:type="dxa"/>
            <w:tcBorders>
              <w:top w:val="single" w:color="auto" w:sz="4" w:space="0"/>
              <w:left w:val="single" w:color="auto" w:sz="4" w:space="0"/>
              <w:bottom w:val="single" w:color="auto" w:sz="4" w:space="0"/>
              <w:right w:val="single" w:color="auto" w:sz="8" w:space="0"/>
            </w:tcBorders>
            <w:vAlign w:val="center"/>
          </w:tcPr>
          <w:p w14:paraId="260BC1EC">
            <w:pPr>
              <w:pStyle w:val="56"/>
              <w:ind w:firstLine="0" w:firstLineChars="0"/>
              <w:jc w:val="center"/>
            </w:pPr>
            <w:r>
              <w:rPr>
                <w:rFonts w:hint="eastAsia"/>
              </w:rPr>
              <w:t>柴油、电力</w:t>
            </w:r>
          </w:p>
        </w:tc>
      </w:tr>
      <w:tr w14:paraId="41811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vMerge w:val="restart"/>
            <w:tcBorders>
              <w:top w:val="single" w:color="auto" w:sz="4" w:space="0"/>
              <w:left w:val="single" w:color="auto" w:sz="8" w:space="0"/>
              <w:bottom w:val="single" w:color="auto" w:sz="4" w:space="0"/>
              <w:right w:val="single" w:color="auto" w:sz="4" w:space="0"/>
            </w:tcBorders>
            <w:vAlign w:val="center"/>
          </w:tcPr>
          <w:p w14:paraId="2AF95195">
            <w:pPr>
              <w:pStyle w:val="56"/>
              <w:ind w:firstLine="0" w:firstLineChars="0"/>
            </w:pPr>
            <w:r>
              <w:rPr>
                <w:rFonts w:hint="eastAsia"/>
              </w:rPr>
              <w:t>水平运输机械</w:t>
            </w:r>
          </w:p>
        </w:tc>
        <w:tc>
          <w:tcPr>
            <w:tcW w:w="2552" w:type="dxa"/>
            <w:tcBorders>
              <w:top w:val="single" w:color="auto" w:sz="4" w:space="0"/>
              <w:left w:val="single" w:color="auto" w:sz="4" w:space="0"/>
              <w:bottom w:val="single" w:color="auto" w:sz="4" w:space="0"/>
              <w:right w:val="single" w:color="auto" w:sz="4" w:space="0"/>
            </w:tcBorders>
            <w:vAlign w:val="center"/>
          </w:tcPr>
          <w:p w14:paraId="39BB8BAF">
            <w:pPr>
              <w:pStyle w:val="56"/>
              <w:ind w:firstLine="0" w:firstLineChars="0"/>
              <w:jc w:val="center"/>
            </w:pPr>
            <w:r>
              <w:rPr>
                <w:rFonts w:hint="eastAsia"/>
              </w:rPr>
              <w:t>集装箱牵引车（集卡）</w:t>
            </w:r>
          </w:p>
        </w:tc>
        <w:tc>
          <w:tcPr>
            <w:tcW w:w="3260" w:type="dxa"/>
            <w:tcBorders>
              <w:top w:val="single" w:color="auto" w:sz="4" w:space="0"/>
              <w:left w:val="single" w:color="auto" w:sz="4" w:space="0"/>
              <w:bottom w:val="single" w:color="auto" w:sz="4" w:space="0"/>
              <w:right w:val="single" w:color="auto" w:sz="4" w:space="0"/>
            </w:tcBorders>
            <w:vAlign w:val="center"/>
          </w:tcPr>
          <w:p w14:paraId="6AEA8825">
            <w:pPr>
              <w:pStyle w:val="56"/>
              <w:ind w:firstLine="0" w:firstLineChars="0"/>
              <w:jc w:val="center"/>
            </w:pPr>
            <w:r>
              <w:rPr>
                <w:rFonts w:hint="eastAsia"/>
              </w:rPr>
              <w:t>集装箱码头</w:t>
            </w:r>
          </w:p>
        </w:tc>
        <w:tc>
          <w:tcPr>
            <w:tcW w:w="2410" w:type="dxa"/>
            <w:tcBorders>
              <w:top w:val="single" w:color="auto" w:sz="4" w:space="0"/>
              <w:left w:val="single" w:color="auto" w:sz="4" w:space="0"/>
              <w:bottom w:val="single" w:color="auto" w:sz="4" w:space="0"/>
              <w:right w:val="single" w:color="auto" w:sz="8" w:space="0"/>
            </w:tcBorders>
            <w:vAlign w:val="center"/>
          </w:tcPr>
          <w:p w14:paraId="4275EFE6">
            <w:pPr>
              <w:pStyle w:val="56"/>
              <w:ind w:firstLine="0" w:firstLineChars="0"/>
              <w:jc w:val="center"/>
            </w:pPr>
            <w:r>
              <w:rPr>
                <w:rFonts w:hint="eastAsia"/>
              </w:rPr>
              <w:t>柴油、LNG、电力、混合动力</w:t>
            </w:r>
          </w:p>
        </w:tc>
      </w:tr>
      <w:tr w14:paraId="4E5F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vMerge w:val="continue"/>
            <w:tcBorders>
              <w:top w:val="single" w:color="auto" w:sz="4" w:space="0"/>
              <w:left w:val="single" w:color="auto" w:sz="8" w:space="0"/>
              <w:bottom w:val="single" w:color="auto" w:sz="4" w:space="0"/>
              <w:right w:val="single" w:color="auto" w:sz="4" w:space="0"/>
            </w:tcBorders>
            <w:vAlign w:val="center"/>
          </w:tcPr>
          <w:p w14:paraId="10AEDBC4">
            <w:pPr>
              <w:pStyle w:val="56"/>
              <w:ind w:firstLine="420"/>
            </w:pPr>
          </w:p>
        </w:tc>
        <w:tc>
          <w:tcPr>
            <w:tcW w:w="2552" w:type="dxa"/>
            <w:tcBorders>
              <w:top w:val="single" w:color="auto" w:sz="4" w:space="0"/>
              <w:left w:val="single" w:color="auto" w:sz="4" w:space="0"/>
              <w:bottom w:val="single" w:color="auto" w:sz="4" w:space="0"/>
              <w:right w:val="single" w:color="auto" w:sz="4" w:space="0"/>
            </w:tcBorders>
            <w:vAlign w:val="center"/>
          </w:tcPr>
          <w:p w14:paraId="1F31A594">
            <w:pPr>
              <w:pStyle w:val="56"/>
              <w:ind w:firstLine="0" w:firstLineChars="0"/>
              <w:jc w:val="center"/>
            </w:pPr>
            <w:r>
              <w:rPr>
                <w:rFonts w:hint="eastAsia"/>
              </w:rPr>
              <w:t>集装箱自动导引车（AGV）</w:t>
            </w:r>
          </w:p>
        </w:tc>
        <w:tc>
          <w:tcPr>
            <w:tcW w:w="3260" w:type="dxa"/>
            <w:tcBorders>
              <w:top w:val="single" w:color="auto" w:sz="4" w:space="0"/>
              <w:left w:val="single" w:color="auto" w:sz="4" w:space="0"/>
              <w:bottom w:val="single" w:color="auto" w:sz="4" w:space="0"/>
              <w:right w:val="single" w:color="auto" w:sz="4" w:space="0"/>
            </w:tcBorders>
            <w:vAlign w:val="center"/>
          </w:tcPr>
          <w:p w14:paraId="4EA9DB28">
            <w:pPr>
              <w:pStyle w:val="56"/>
              <w:ind w:firstLine="0" w:firstLineChars="0"/>
              <w:jc w:val="center"/>
            </w:pPr>
            <w:r>
              <w:rPr>
                <w:rFonts w:hint="eastAsia"/>
              </w:rPr>
              <w:t>集装箱码头</w:t>
            </w:r>
          </w:p>
        </w:tc>
        <w:tc>
          <w:tcPr>
            <w:tcW w:w="2410" w:type="dxa"/>
            <w:tcBorders>
              <w:top w:val="single" w:color="auto" w:sz="4" w:space="0"/>
              <w:left w:val="single" w:color="auto" w:sz="4" w:space="0"/>
              <w:bottom w:val="single" w:color="auto" w:sz="4" w:space="0"/>
              <w:right w:val="single" w:color="auto" w:sz="8" w:space="0"/>
            </w:tcBorders>
            <w:vAlign w:val="center"/>
          </w:tcPr>
          <w:p w14:paraId="654976CE">
            <w:pPr>
              <w:pStyle w:val="56"/>
              <w:ind w:firstLine="0" w:firstLineChars="0"/>
              <w:jc w:val="center"/>
            </w:pPr>
            <w:r>
              <w:rPr>
                <w:rFonts w:hint="eastAsia"/>
              </w:rPr>
              <w:t>电力、混合动力</w:t>
            </w:r>
          </w:p>
        </w:tc>
      </w:tr>
    </w:tbl>
    <w:p w14:paraId="45520EF1">
      <w:pPr>
        <w:jc w:val="center"/>
        <w:rPr>
          <w:rFonts w:hint="eastAsia" w:ascii="宋体" w:hAnsi="宋体"/>
        </w:rPr>
      </w:pPr>
      <w:r>
        <w:br w:type="page"/>
      </w:r>
      <w:r>
        <w:rPr>
          <w:rFonts w:hint="eastAsia" w:ascii="黑体" w:hAnsi="黑体" w:eastAsia="黑体"/>
        </w:rPr>
        <w:t>表A.2  港口集装箱/杂货/滚装装卸作业机械主要排放节点</w:t>
      </w:r>
      <w:r>
        <w:rPr>
          <w:rFonts w:hint="eastAsia" w:ascii="宋体" w:hAnsi="宋体"/>
        </w:rPr>
        <w:t>（续）</w:t>
      </w:r>
    </w:p>
    <w:tbl>
      <w:tblPr>
        <w:tblStyle w:val="27"/>
        <w:tblW w:w="93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552"/>
        <w:gridCol w:w="3260"/>
        <w:gridCol w:w="2410"/>
      </w:tblGrid>
      <w:tr w14:paraId="0B3F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tcBorders>
              <w:top w:val="single" w:color="auto" w:sz="8" w:space="0"/>
              <w:left w:val="single" w:color="auto" w:sz="8" w:space="0"/>
              <w:bottom w:val="single" w:color="auto" w:sz="4" w:space="0"/>
              <w:right w:val="single" w:color="auto" w:sz="4" w:space="0"/>
            </w:tcBorders>
            <w:vAlign w:val="center"/>
          </w:tcPr>
          <w:p w14:paraId="78140239">
            <w:pPr>
              <w:pStyle w:val="56"/>
              <w:ind w:firstLine="0" w:firstLineChars="0"/>
              <w:jc w:val="center"/>
            </w:pPr>
            <w:r>
              <w:rPr>
                <w:rFonts w:hint="eastAsia"/>
              </w:rPr>
              <w:t>机械分类</w:t>
            </w:r>
          </w:p>
        </w:tc>
        <w:tc>
          <w:tcPr>
            <w:tcW w:w="2552" w:type="dxa"/>
            <w:tcBorders>
              <w:top w:val="single" w:color="auto" w:sz="8" w:space="0"/>
              <w:left w:val="single" w:color="auto" w:sz="4" w:space="0"/>
              <w:bottom w:val="single" w:color="auto" w:sz="4" w:space="0"/>
              <w:right w:val="single" w:color="auto" w:sz="4" w:space="0"/>
            </w:tcBorders>
            <w:vAlign w:val="center"/>
          </w:tcPr>
          <w:p w14:paraId="32A63A45">
            <w:pPr>
              <w:pStyle w:val="56"/>
              <w:ind w:firstLine="0" w:firstLineChars="0"/>
              <w:jc w:val="center"/>
            </w:pPr>
            <w:r>
              <w:rPr>
                <w:rFonts w:hint="eastAsia"/>
              </w:rPr>
              <w:t>对象</w:t>
            </w:r>
          </w:p>
        </w:tc>
        <w:tc>
          <w:tcPr>
            <w:tcW w:w="3260" w:type="dxa"/>
            <w:tcBorders>
              <w:top w:val="single" w:color="auto" w:sz="8" w:space="0"/>
              <w:left w:val="single" w:color="auto" w:sz="4" w:space="0"/>
              <w:bottom w:val="single" w:color="auto" w:sz="4" w:space="0"/>
              <w:right w:val="single" w:color="auto" w:sz="4" w:space="0"/>
            </w:tcBorders>
            <w:vAlign w:val="center"/>
          </w:tcPr>
          <w:p w14:paraId="2E1642C2">
            <w:pPr>
              <w:pStyle w:val="56"/>
              <w:ind w:firstLine="0" w:firstLineChars="0"/>
              <w:jc w:val="center"/>
            </w:pPr>
            <w:r>
              <w:rPr>
                <w:rFonts w:hint="eastAsia"/>
              </w:rPr>
              <w:t>适用港口类型</w:t>
            </w:r>
          </w:p>
        </w:tc>
        <w:tc>
          <w:tcPr>
            <w:tcW w:w="2410" w:type="dxa"/>
            <w:tcBorders>
              <w:top w:val="single" w:color="auto" w:sz="8" w:space="0"/>
              <w:left w:val="single" w:color="auto" w:sz="4" w:space="0"/>
              <w:bottom w:val="single" w:color="auto" w:sz="4" w:space="0"/>
              <w:right w:val="single" w:color="auto" w:sz="8" w:space="0"/>
            </w:tcBorders>
            <w:vAlign w:val="center"/>
          </w:tcPr>
          <w:p w14:paraId="270BD037">
            <w:pPr>
              <w:pStyle w:val="56"/>
              <w:ind w:firstLine="0" w:firstLineChars="0"/>
              <w:jc w:val="center"/>
            </w:pPr>
            <w:r>
              <w:rPr>
                <w:rFonts w:hint="eastAsia"/>
              </w:rPr>
              <w:t>用能类别</w:t>
            </w:r>
          </w:p>
        </w:tc>
      </w:tr>
      <w:tr w14:paraId="0649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vMerge w:val="restart"/>
            <w:tcBorders>
              <w:top w:val="single" w:color="auto" w:sz="4" w:space="0"/>
              <w:left w:val="single" w:color="auto" w:sz="8" w:space="0"/>
              <w:bottom w:val="single" w:color="auto" w:sz="4" w:space="0"/>
              <w:right w:val="single" w:color="auto" w:sz="4" w:space="0"/>
            </w:tcBorders>
            <w:vAlign w:val="center"/>
          </w:tcPr>
          <w:p w14:paraId="1F8129BA">
            <w:pPr>
              <w:pStyle w:val="56"/>
              <w:ind w:firstLine="420"/>
            </w:pPr>
          </w:p>
        </w:tc>
        <w:tc>
          <w:tcPr>
            <w:tcW w:w="2552" w:type="dxa"/>
            <w:tcBorders>
              <w:top w:val="single" w:color="auto" w:sz="4" w:space="0"/>
              <w:left w:val="single" w:color="auto" w:sz="4" w:space="0"/>
              <w:bottom w:val="single" w:color="auto" w:sz="4" w:space="0"/>
              <w:right w:val="single" w:color="auto" w:sz="4" w:space="0"/>
            </w:tcBorders>
            <w:vAlign w:val="center"/>
          </w:tcPr>
          <w:p w14:paraId="392A975E">
            <w:pPr>
              <w:pStyle w:val="56"/>
              <w:ind w:firstLine="0" w:firstLineChars="0"/>
              <w:jc w:val="center"/>
            </w:pPr>
            <w:r>
              <w:rPr>
                <w:rFonts w:hint="eastAsia"/>
              </w:rPr>
              <w:t>智能导引运输车（IGV）</w:t>
            </w:r>
          </w:p>
        </w:tc>
        <w:tc>
          <w:tcPr>
            <w:tcW w:w="3260" w:type="dxa"/>
            <w:tcBorders>
              <w:top w:val="single" w:color="auto" w:sz="4" w:space="0"/>
              <w:left w:val="single" w:color="auto" w:sz="4" w:space="0"/>
              <w:bottom w:val="single" w:color="auto" w:sz="4" w:space="0"/>
              <w:right w:val="single" w:color="auto" w:sz="4" w:space="0"/>
            </w:tcBorders>
            <w:vAlign w:val="center"/>
          </w:tcPr>
          <w:p w14:paraId="31FDBFF9">
            <w:pPr>
              <w:pStyle w:val="56"/>
              <w:ind w:firstLine="0" w:firstLineChars="0"/>
              <w:jc w:val="center"/>
            </w:pPr>
            <w:r>
              <w:t>集装箱码头 / 杂货码头</w:t>
            </w:r>
          </w:p>
        </w:tc>
        <w:tc>
          <w:tcPr>
            <w:tcW w:w="2410" w:type="dxa"/>
            <w:tcBorders>
              <w:top w:val="single" w:color="auto" w:sz="4" w:space="0"/>
              <w:left w:val="single" w:color="auto" w:sz="4" w:space="0"/>
              <w:bottom w:val="single" w:color="auto" w:sz="4" w:space="0"/>
              <w:right w:val="single" w:color="auto" w:sz="8" w:space="0"/>
            </w:tcBorders>
            <w:vAlign w:val="center"/>
          </w:tcPr>
          <w:p w14:paraId="6EBA9097">
            <w:pPr>
              <w:pStyle w:val="56"/>
              <w:ind w:firstLine="199" w:firstLineChars="95"/>
              <w:jc w:val="center"/>
            </w:pPr>
            <w:r>
              <w:rPr>
                <w:rFonts w:hint="eastAsia"/>
              </w:rPr>
              <w:t>电力</w:t>
            </w:r>
          </w:p>
        </w:tc>
      </w:tr>
      <w:tr w14:paraId="3C274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vMerge w:val="continue"/>
            <w:tcBorders>
              <w:top w:val="single" w:color="auto" w:sz="4" w:space="0"/>
              <w:left w:val="single" w:color="auto" w:sz="8" w:space="0"/>
              <w:bottom w:val="single" w:color="auto" w:sz="4" w:space="0"/>
              <w:right w:val="single" w:color="auto" w:sz="4" w:space="0"/>
            </w:tcBorders>
            <w:vAlign w:val="center"/>
          </w:tcPr>
          <w:p w14:paraId="5C6CCCE2">
            <w:pPr>
              <w:pStyle w:val="56"/>
              <w:ind w:firstLine="420"/>
            </w:pPr>
          </w:p>
        </w:tc>
        <w:tc>
          <w:tcPr>
            <w:tcW w:w="2552" w:type="dxa"/>
            <w:tcBorders>
              <w:top w:val="single" w:color="auto" w:sz="4" w:space="0"/>
              <w:left w:val="single" w:color="auto" w:sz="4" w:space="0"/>
              <w:bottom w:val="single" w:color="auto" w:sz="4" w:space="0"/>
              <w:right w:val="single" w:color="auto" w:sz="4" w:space="0"/>
            </w:tcBorders>
            <w:vAlign w:val="center"/>
          </w:tcPr>
          <w:p w14:paraId="54FCE6BF">
            <w:pPr>
              <w:pStyle w:val="56"/>
              <w:ind w:firstLine="0" w:firstLineChars="0"/>
              <w:jc w:val="center"/>
            </w:pPr>
            <w:r>
              <w:t>牵引车（含滚装专用牵引车）</w:t>
            </w:r>
          </w:p>
        </w:tc>
        <w:tc>
          <w:tcPr>
            <w:tcW w:w="3260" w:type="dxa"/>
            <w:tcBorders>
              <w:top w:val="single" w:color="auto" w:sz="4" w:space="0"/>
              <w:left w:val="single" w:color="auto" w:sz="4" w:space="0"/>
              <w:bottom w:val="single" w:color="auto" w:sz="4" w:space="0"/>
              <w:right w:val="single" w:color="auto" w:sz="4" w:space="0"/>
            </w:tcBorders>
            <w:vAlign w:val="center"/>
          </w:tcPr>
          <w:p w14:paraId="052D15C4">
            <w:pPr>
              <w:pStyle w:val="56"/>
              <w:ind w:firstLine="0" w:firstLineChars="0"/>
              <w:jc w:val="center"/>
            </w:pPr>
            <w:r>
              <w:t>滚装码头 / 杂货码头</w:t>
            </w:r>
          </w:p>
        </w:tc>
        <w:tc>
          <w:tcPr>
            <w:tcW w:w="2410" w:type="dxa"/>
            <w:tcBorders>
              <w:top w:val="single" w:color="auto" w:sz="4" w:space="0"/>
              <w:left w:val="single" w:color="auto" w:sz="4" w:space="0"/>
              <w:bottom w:val="single" w:color="auto" w:sz="4" w:space="0"/>
              <w:right w:val="single" w:color="auto" w:sz="8" w:space="0"/>
            </w:tcBorders>
            <w:vAlign w:val="center"/>
          </w:tcPr>
          <w:p w14:paraId="2DA8B4A8">
            <w:pPr>
              <w:pStyle w:val="56"/>
              <w:ind w:firstLine="0" w:firstLineChars="0"/>
              <w:jc w:val="center"/>
            </w:pPr>
            <w:r>
              <w:rPr>
                <w:rFonts w:hint="eastAsia"/>
              </w:rPr>
              <w:t>柴油、LNG、电力、混合动力</w:t>
            </w:r>
          </w:p>
        </w:tc>
      </w:tr>
      <w:tr w14:paraId="74BDB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vMerge w:val="restart"/>
            <w:tcBorders>
              <w:top w:val="single" w:color="auto" w:sz="4" w:space="0"/>
              <w:left w:val="single" w:color="auto" w:sz="8" w:space="0"/>
              <w:bottom w:val="single" w:color="auto" w:sz="4" w:space="0"/>
              <w:right w:val="single" w:color="auto" w:sz="4" w:space="0"/>
            </w:tcBorders>
            <w:vAlign w:val="center"/>
          </w:tcPr>
          <w:p w14:paraId="4A567712">
            <w:pPr>
              <w:pStyle w:val="56"/>
              <w:ind w:firstLine="0" w:firstLineChars="0"/>
            </w:pPr>
            <w:r>
              <w:rPr>
                <w:rFonts w:hint="eastAsia"/>
              </w:rPr>
              <w:t>堆场冷藏/ 专用设备</w:t>
            </w:r>
          </w:p>
        </w:tc>
        <w:tc>
          <w:tcPr>
            <w:tcW w:w="2552" w:type="dxa"/>
            <w:tcBorders>
              <w:top w:val="single" w:color="auto" w:sz="4" w:space="0"/>
              <w:left w:val="single" w:color="auto" w:sz="4" w:space="0"/>
              <w:bottom w:val="single" w:color="auto" w:sz="4" w:space="0"/>
              <w:right w:val="single" w:color="auto" w:sz="4" w:space="0"/>
            </w:tcBorders>
            <w:vAlign w:val="center"/>
          </w:tcPr>
          <w:p w14:paraId="7222C0A2">
            <w:pPr>
              <w:pStyle w:val="56"/>
              <w:ind w:firstLine="0" w:firstLineChars="0"/>
              <w:jc w:val="center"/>
            </w:pPr>
            <w:r>
              <w:rPr>
                <w:rFonts w:hint="eastAsia"/>
              </w:rPr>
              <w:t>冷藏箱（含岸电供电系统）</w:t>
            </w:r>
          </w:p>
        </w:tc>
        <w:tc>
          <w:tcPr>
            <w:tcW w:w="3260" w:type="dxa"/>
            <w:tcBorders>
              <w:top w:val="single" w:color="auto" w:sz="4" w:space="0"/>
              <w:left w:val="single" w:color="auto" w:sz="4" w:space="0"/>
              <w:bottom w:val="single" w:color="auto" w:sz="4" w:space="0"/>
              <w:right w:val="single" w:color="auto" w:sz="4" w:space="0"/>
            </w:tcBorders>
            <w:vAlign w:val="center"/>
          </w:tcPr>
          <w:p w14:paraId="3A44F18D">
            <w:pPr>
              <w:pStyle w:val="56"/>
              <w:ind w:firstLine="0" w:firstLineChars="0"/>
              <w:jc w:val="center"/>
            </w:pPr>
            <w:r>
              <w:t>集装箱码头 / 杂货码</w:t>
            </w:r>
            <w:r>
              <w:rPr>
                <w:rFonts w:hint="eastAsia"/>
              </w:rPr>
              <w:t>头</w:t>
            </w:r>
          </w:p>
        </w:tc>
        <w:tc>
          <w:tcPr>
            <w:tcW w:w="2410" w:type="dxa"/>
            <w:tcBorders>
              <w:top w:val="single" w:color="auto" w:sz="4" w:space="0"/>
              <w:left w:val="single" w:color="auto" w:sz="4" w:space="0"/>
              <w:bottom w:val="single" w:color="auto" w:sz="4" w:space="0"/>
              <w:right w:val="single" w:color="auto" w:sz="8" w:space="0"/>
            </w:tcBorders>
            <w:vAlign w:val="center"/>
          </w:tcPr>
          <w:p w14:paraId="01F37AE1">
            <w:pPr>
              <w:pStyle w:val="56"/>
              <w:ind w:firstLine="0" w:firstLineChars="0"/>
              <w:jc w:val="center"/>
            </w:pPr>
            <w:r>
              <w:rPr>
                <w:rFonts w:hint="eastAsia"/>
              </w:rPr>
              <w:t>电力</w:t>
            </w:r>
          </w:p>
        </w:tc>
      </w:tr>
      <w:tr w14:paraId="01B8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vMerge w:val="continue"/>
            <w:tcBorders>
              <w:top w:val="single" w:color="auto" w:sz="4" w:space="0"/>
              <w:left w:val="single" w:color="auto" w:sz="8" w:space="0"/>
              <w:bottom w:val="single" w:color="auto" w:sz="4" w:space="0"/>
              <w:right w:val="single" w:color="auto" w:sz="4" w:space="0"/>
            </w:tcBorders>
            <w:vAlign w:val="center"/>
          </w:tcPr>
          <w:p w14:paraId="2D0564AF">
            <w:pPr>
              <w:pStyle w:val="56"/>
              <w:ind w:firstLine="420"/>
            </w:pPr>
          </w:p>
        </w:tc>
        <w:tc>
          <w:tcPr>
            <w:tcW w:w="2552" w:type="dxa"/>
            <w:tcBorders>
              <w:top w:val="single" w:color="auto" w:sz="4" w:space="0"/>
              <w:left w:val="single" w:color="auto" w:sz="4" w:space="0"/>
              <w:bottom w:val="single" w:color="auto" w:sz="4" w:space="0"/>
              <w:right w:val="single" w:color="auto" w:sz="4" w:space="0"/>
            </w:tcBorders>
            <w:vAlign w:val="center"/>
          </w:tcPr>
          <w:p w14:paraId="42F4573B">
            <w:pPr>
              <w:pStyle w:val="56"/>
              <w:ind w:firstLine="0" w:firstLineChars="0"/>
              <w:jc w:val="center"/>
            </w:pPr>
            <w:r>
              <w:rPr>
                <w:rFonts w:hint="eastAsia"/>
              </w:rPr>
              <w:t>集装箱调箱门设备</w:t>
            </w:r>
          </w:p>
        </w:tc>
        <w:tc>
          <w:tcPr>
            <w:tcW w:w="3260" w:type="dxa"/>
            <w:tcBorders>
              <w:top w:val="single" w:color="auto" w:sz="4" w:space="0"/>
              <w:left w:val="single" w:color="auto" w:sz="4" w:space="0"/>
              <w:bottom w:val="single" w:color="auto" w:sz="4" w:space="0"/>
              <w:right w:val="single" w:color="auto" w:sz="4" w:space="0"/>
            </w:tcBorders>
            <w:vAlign w:val="center"/>
          </w:tcPr>
          <w:p w14:paraId="32C33B1D">
            <w:pPr>
              <w:pStyle w:val="56"/>
              <w:ind w:firstLine="0" w:firstLineChars="0"/>
              <w:jc w:val="center"/>
            </w:pPr>
            <w:r>
              <w:t>集装箱码头</w:t>
            </w:r>
          </w:p>
        </w:tc>
        <w:tc>
          <w:tcPr>
            <w:tcW w:w="2410" w:type="dxa"/>
            <w:tcBorders>
              <w:top w:val="single" w:color="auto" w:sz="4" w:space="0"/>
              <w:left w:val="single" w:color="auto" w:sz="4" w:space="0"/>
              <w:bottom w:val="single" w:color="auto" w:sz="4" w:space="0"/>
              <w:right w:val="single" w:color="auto" w:sz="8" w:space="0"/>
            </w:tcBorders>
            <w:vAlign w:val="center"/>
          </w:tcPr>
          <w:p w14:paraId="06BFA8B9">
            <w:pPr>
              <w:pStyle w:val="56"/>
              <w:ind w:firstLine="0" w:firstLineChars="0"/>
              <w:jc w:val="center"/>
            </w:pPr>
            <w:r>
              <w:rPr>
                <w:rFonts w:hint="eastAsia"/>
              </w:rPr>
              <w:t>电力</w:t>
            </w:r>
          </w:p>
        </w:tc>
      </w:tr>
      <w:tr w14:paraId="3AEA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vMerge w:val="restart"/>
            <w:tcBorders>
              <w:top w:val="single" w:color="auto" w:sz="4" w:space="0"/>
              <w:left w:val="single" w:color="auto" w:sz="8" w:space="0"/>
              <w:bottom w:val="single" w:color="auto" w:sz="4" w:space="0"/>
              <w:right w:val="single" w:color="auto" w:sz="4" w:space="0"/>
            </w:tcBorders>
            <w:vAlign w:val="center"/>
          </w:tcPr>
          <w:p w14:paraId="1A02AA89">
            <w:pPr>
              <w:pStyle w:val="56"/>
              <w:ind w:firstLine="0" w:firstLineChars="0"/>
            </w:pPr>
            <w:r>
              <w:rPr>
                <w:rFonts w:hint="eastAsia"/>
              </w:rPr>
              <w:t>辅助生产车辆/设备</w:t>
            </w:r>
          </w:p>
        </w:tc>
        <w:tc>
          <w:tcPr>
            <w:tcW w:w="2552" w:type="dxa"/>
            <w:tcBorders>
              <w:top w:val="single" w:color="auto" w:sz="4" w:space="0"/>
              <w:left w:val="single" w:color="auto" w:sz="4" w:space="0"/>
              <w:bottom w:val="single" w:color="auto" w:sz="4" w:space="0"/>
              <w:right w:val="single" w:color="auto" w:sz="4" w:space="0"/>
            </w:tcBorders>
            <w:vAlign w:val="center"/>
          </w:tcPr>
          <w:p w14:paraId="73551659">
            <w:pPr>
              <w:pStyle w:val="56"/>
              <w:ind w:firstLine="0" w:firstLineChars="0"/>
              <w:jc w:val="center"/>
            </w:pPr>
            <w:r>
              <w:rPr>
                <w:rFonts w:hint="eastAsia"/>
              </w:rPr>
              <w:t>清扫车、洒水车</w:t>
            </w:r>
          </w:p>
        </w:tc>
        <w:tc>
          <w:tcPr>
            <w:tcW w:w="3260" w:type="dxa"/>
            <w:tcBorders>
              <w:top w:val="single" w:color="auto" w:sz="4" w:space="0"/>
              <w:left w:val="single" w:color="auto" w:sz="4" w:space="0"/>
              <w:bottom w:val="single" w:color="auto" w:sz="4" w:space="0"/>
              <w:right w:val="single" w:color="auto" w:sz="4" w:space="0"/>
            </w:tcBorders>
            <w:vAlign w:val="center"/>
          </w:tcPr>
          <w:p w14:paraId="2247373D">
            <w:pPr>
              <w:pStyle w:val="56"/>
              <w:ind w:firstLine="0" w:firstLineChars="0"/>
              <w:jc w:val="center"/>
            </w:pPr>
            <w:r>
              <w:t>全类型码头</w:t>
            </w:r>
          </w:p>
        </w:tc>
        <w:tc>
          <w:tcPr>
            <w:tcW w:w="2410" w:type="dxa"/>
            <w:tcBorders>
              <w:top w:val="single" w:color="auto" w:sz="4" w:space="0"/>
              <w:left w:val="single" w:color="auto" w:sz="4" w:space="0"/>
              <w:bottom w:val="single" w:color="auto" w:sz="4" w:space="0"/>
              <w:right w:val="single" w:color="auto" w:sz="8" w:space="0"/>
            </w:tcBorders>
            <w:vAlign w:val="center"/>
          </w:tcPr>
          <w:p w14:paraId="211EF003">
            <w:pPr>
              <w:pStyle w:val="56"/>
              <w:ind w:firstLine="0" w:firstLineChars="0"/>
              <w:jc w:val="center"/>
            </w:pPr>
            <w:r>
              <w:rPr>
                <w:rFonts w:hint="eastAsia"/>
              </w:rPr>
              <w:t>柴油、LNG、电力、混合动力</w:t>
            </w:r>
          </w:p>
        </w:tc>
      </w:tr>
      <w:tr w14:paraId="3D6F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vMerge w:val="continue"/>
            <w:tcBorders>
              <w:top w:val="single" w:color="auto" w:sz="4" w:space="0"/>
              <w:left w:val="single" w:color="auto" w:sz="8" w:space="0"/>
              <w:bottom w:val="single" w:color="auto" w:sz="4" w:space="0"/>
              <w:right w:val="single" w:color="auto" w:sz="4" w:space="0"/>
            </w:tcBorders>
            <w:vAlign w:val="center"/>
          </w:tcPr>
          <w:p w14:paraId="4AF96AFE">
            <w:pPr>
              <w:pStyle w:val="56"/>
              <w:ind w:firstLine="420"/>
            </w:pPr>
          </w:p>
        </w:tc>
        <w:tc>
          <w:tcPr>
            <w:tcW w:w="2552" w:type="dxa"/>
            <w:tcBorders>
              <w:top w:val="single" w:color="auto" w:sz="4" w:space="0"/>
              <w:left w:val="single" w:color="auto" w:sz="4" w:space="0"/>
              <w:bottom w:val="single" w:color="auto" w:sz="4" w:space="0"/>
              <w:right w:val="single" w:color="auto" w:sz="4" w:space="0"/>
            </w:tcBorders>
            <w:vAlign w:val="center"/>
          </w:tcPr>
          <w:p w14:paraId="5D8A8044">
            <w:pPr>
              <w:pStyle w:val="56"/>
              <w:ind w:firstLine="0" w:firstLineChars="0"/>
              <w:jc w:val="center"/>
            </w:pPr>
            <w:r>
              <w:rPr>
                <w:rFonts w:hint="eastAsia"/>
              </w:rPr>
              <w:t>装载机</w:t>
            </w:r>
          </w:p>
        </w:tc>
        <w:tc>
          <w:tcPr>
            <w:tcW w:w="3260" w:type="dxa"/>
            <w:tcBorders>
              <w:top w:val="single" w:color="auto" w:sz="4" w:space="0"/>
              <w:left w:val="single" w:color="auto" w:sz="4" w:space="0"/>
              <w:bottom w:val="single" w:color="auto" w:sz="4" w:space="0"/>
              <w:right w:val="single" w:color="auto" w:sz="4" w:space="0"/>
            </w:tcBorders>
            <w:vAlign w:val="center"/>
          </w:tcPr>
          <w:p w14:paraId="2567A36C">
            <w:pPr>
              <w:pStyle w:val="56"/>
              <w:ind w:firstLine="0" w:firstLineChars="0"/>
              <w:jc w:val="center"/>
            </w:pPr>
            <w:r>
              <w:t>杂货码头</w:t>
            </w:r>
          </w:p>
        </w:tc>
        <w:tc>
          <w:tcPr>
            <w:tcW w:w="2410" w:type="dxa"/>
            <w:tcBorders>
              <w:top w:val="single" w:color="auto" w:sz="4" w:space="0"/>
              <w:left w:val="single" w:color="auto" w:sz="4" w:space="0"/>
              <w:bottom w:val="single" w:color="auto" w:sz="4" w:space="0"/>
              <w:right w:val="single" w:color="auto" w:sz="8" w:space="0"/>
            </w:tcBorders>
            <w:vAlign w:val="center"/>
          </w:tcPr>
          <w:p w14:paraId="13F51D3C">
            <w:pPr>
              <w:pStyle w:val="56"/>
              <w:ind w:firstLine="0" w:firstLineChars="0"/>
              <w:jc w:val="center"/>
            </w:pPr>
            <w:r>
              <w:t>柴油、电力</w:t>
            </w:r>
          </w:p>
        </w:tc>
      </w:tr>
      <w:tr w14:paraId="2E4A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vMerge w:val="continue"/>
            <w:tcBorders>
              <w:top w:val="single" w:color="auto" w:sz="4" w:space="0"/>
              <w:left w:val="single" w:color="auto" w:sz="8" w:space="0"/>
              <w:bottom w:val="single" w:color="auto" w:sz="4" w:space="0"/>
              <w:right w:val="single" w:color="auto" w:sz="4" w:space="0"/>
            </w:tcBorders>
            <w:vAlign w:val="center"/>
          </w:tcPr>
          <w:p w14:paraId="70F88BA1">
            <w:pPr>
              <w:pStyle w:val="56"/>
              <w:ind w:firstLine="420"/>
            </w:pPr>
          </w:p>
        </w:tc>
        <w:tc>
          <w:tcPr>
            <w:tcW w:w="2552" w:type="dxa"/>
            <w:tcBorders>
              <w:top w:val="single" w:color="auto" w:sz="4" w:space="0"/>
              <w:left w:val="single" w:color="auto" w:sz="4" w:space="0"/>
              <w:bottom w:val="single" w:color="auto" w:sz="4" w:space="0"/>
              <w:right w:val="single" w:color="auto" w:sz="4" w:space="0"/>
            </w:tcBorders>
            <w:vAlign w:val="center"/>
          </w:tcPr>
          <w:p w14:paraId="0A11A5B0">
            <w:pPr>
              <w:pStyle w:val="56"/>
              <w:ind w:firstLine="0" w:firstLineChars="0"/>
              <w:jc w:val="center"/>
            </w:pPr>
            <w:r>
              <w:t>高空作业平台</w:t>
            </w:r>
          </w:p>
        </w:tc>
        <w:tc>
          <w:tcPr>
            <w:tcW w:w="3260" w:type="dxa"/>
            <w:tcBorders>
              <w:top w:val="single" w:color="auto" w:sz="4" w:space="0"/>
              <w:left w:val="single" w:color="auto" w:sz="4" w:space="0"/>
              <w:bottom w:val="single" w:color="auto" w:sz="4" w:space="0"/>
              <w:right w:val="single" w:color="auto" w:sz="4" w:space="0"/>
            </w:tcBorders>
            <w:vAlign w:val="center"/>
          </w:tcPr>
          <w:p w14:paraId="620E10B3">
            <w:pPr>
              <w:pStyle w:val="56"/>
              <w:ind w:firstLine="0" w:firstLineChars="0"/>
              <w:jc w:val="center"/>
            </w:pPr>
            <w:r>
              <w:t>全类型码头</w:t>
            </w:r>
          </w:p>
        </w:tc>
        <w:tc>
          <w:tcPr>
            <w:tcW w:w="2410" w:type="dxa"/>
            <w:tcBorders>
              <w:top w:val="single" w:color="auto" w:sz="4" w:space="0"/>
              <w:left w:val="single" w:color="auto" w:sz="4" w:space="0"/>
              <w:bottom w:val="single" w:color="auto" w:sz="4" w:space="0"/>
              <w:right w:val="single" w:color="auto" w:sz="8" w:space="0"/>
            </w:tcBorders>
            <w:vAlign w:val="center"/>
          </w:tcPr>
          <w:p w14:paraId="50A392F8">
            <w:pPr>
              <w:pStyle w:val="56"/>
              <w:ind w:firstLine="0" w:firstLineChars="0"/>
              <w:jc w:val="center"/>
            </w:pPr>
            <w:r>
              <w:t>电力、柴油</w:t>
            </w:r>
          </w:p>
        </w:tc>
      </w:tr>
      <w:tr w14:paraId="6BC4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vMerge w:val="continue"/>
            <w:tcBorders>
              <w:top w:val="single" w:color="auto" w:sz="4" w:space="0"/>
              <w:left w:val="single" w:color="auto" w:sz="8" w:space="0"/>
              <w:bottom w:val="single" w:color="auto" w:sz="4" w:space="0"/>
              <w:right w:val="single" w:color="auto" w:sz="4" w:space="0"/>
            </w:tcBorders>
            <w:vAlign w:val="center"/>
          </w:tcPr>
          <w:p w14:paraId="6C2782EC">
            <w:pPr>
              <w:pStyle w:val="56"/>
              <w:ind w:firstLine="420"/>
            </w:pPr>
          </w:p>
        </w:tc>
        <w:tc>
          <w:tcPr>
            <w:tcW w:w="2552" w:type="dxa"/>
            <w:tcBorders>
              <w:top w:val="single" w:color="auto" w:sz="4" w:space="0"/>
              <w:left w:val="single" w:color="auto" w:sz="4" w:space="0"/>
              <w:bottom w:val="single" w:color="auto" w:sz="8" w:space="0"/>
              <w:right w:val="single" w:color="auto" w:sz="4" w:space="0"/>
            </w:tcBorders>
            <w:vAlign w:val="center"/>
          </w:tcPr>
          <w:p w14:paraId="42D687C1">
            <w:pPr>
              <w:pStyle w:val="56"/>
              <w:ind w:firstLine="0" w:firstLineChars="0"/>
              <w:jc w:val="center"/>
            </w:pPr>
            <w:r>
              <w:t>港口电梯 / 登船梯</w:t>
            </w:r>
          </w:p>
        </w:tc>
        <w:tc>
          <w:tcPr>
            <w:tcW w:w="3260" w:type="dxa"/>
            <w:tcBorders>
              <w:top w:val="single" w:color="auto" w:sz="4" w:space="0"/>
              <w:left w:val="single" w:color="auto" w:sz="4" w:space="0"/>
              <w:bottom w:val="single" w:color="auto" w:sz="8" w:space="0"/>
              <w:right w:val="single" w:color="auto" w:sz="4" w:space="0"/>
            </w:tcBorders>
            <w:vAlign w:val="center"/>
          </w:tcPr>
          <w:p w14:paraId="3B22BFDF">
            <w:pPr>
              <w:pStyle w:val="56"/>
              <w:ind w:firstLine="0" w:firstLineChars="0"/>
              <w:jc w:val="center"/>
            </w:pPr>
            <w:r>
              <w:t>滚装码头 / 件杂货码头</w:t>
            </w:r>
          </w:p>
        </w:tc>
        <w:tc>
          <w:tcPr>
            <w:tcW w:w="2410" w:type="dxa"/>
            <w:tcBorders>
              <w:top w:val="single" w:color="auto" w:sz="4" w:space="0"/>
              <w:left w:val="single" w:color="auto" w:sz="4" w:space="0"/>
              <w:bottom w:val="single" w:color="auto" w:sz="8" w:space="0"/>
              <w:right w:val="single" w:color="auto" w:sz="8" w:space="0"/>
            </w:tcBorders>
            <w:vAlign w:val="center"/>
          </w:tcPr>
          <w:p w14:paraId="3F278FCD">
            <w:pPr>
              <w:pStyle w:val="56"/>
              <w:ind w:firstLine="0" w:firstLineChars="0"/>
              <w:jc w:val="center"/>
            </w:pPr>
            <w:r>
              <w:t>电力</w:t>
            </w:r>
          </w:p>
        </w:tc>
      </w:tr>
    </w:tbl>
    <w:p w14:paraId="6A3E8222">
      <w:pPr>
        <w:pStyle w:val="56"/>
        <w:ind w:firstLine="420"/>
      </w:pPr>
    </w:p>
    <w:p w14:paraId="372192C6">
      <w:pPr>
        <w:pStyle w:val="56"/>
        <w:ind w:firstLine="420"/>
        <w:sectPr>
          <w:pgSz w:w="11906" w:h="16838"/>
          <w:pgMar w:top="1928" w:right="1134" w:bottom="1134" w:left="1134" w:header="1418" w:footer="1134" w:gutter="284"/>
          <w:cols w:space="425" w:num="1"/>
          <w:formProt w:val="0"/>
          <w:docGrid w:linePitch="312" w:charSpace="0"/>
        </w:sectPr>
      </w:pPr>
    </w:p>
    <w:p w14:paraId="443F836D">
      <w:pPr>
        <w:pStyle w:val="198"/>
        <w:rPr>
          <w:rFonts w:hint="eastAsia"/>
          <w:vanish w:val="0"/>
        </w:rPr>
      </w:pPr>
    </w:p>
    <w:p w14:paraId="4AC18C89">
      <w:pPr>
        <w:pStyle w:val="199"/>
        <w:rPr>
          <w:vanish w:val="0"/>
        </w:rPr>
      </w:pPr>
    </w:p>
    <w:p w14:paraId="47BCFA89">
      <w:pPr>
        <w:pStyle w:val="76"/>
        <w:spacing w:after="120"/>
      </w:pPr>
      <w:r>
        <w:br w:type="textWrapping"/>
      </w:r>
      <w:bookmarkStart w:id="97" w:name="_Toc231215122"/>
      <w:r>
        <w:rPr>
          <w:rFonts w:hint="eastAsia"/>
        </w:rPr>
        <w:t>（资料性）</w:t>
      </w:r>
      <w:r>
        <w:br w:type="textWrapping"/>
      </w:r>
      <w:r>
        <w:rPr>
          <w:rFonts w:hint="eastAsia"/>
        </w:rPr>
        <w:t>全球变暖潜势值参考</w:t>
      </w:r>
      <w:bookmarkEnd w:id="97"/>
    </w:p>
    <w:p w14:paraId="4162559D">
      <w:pPr>
        <w:pStyle w:val="56"/>
        <w:ind w:firstLine="420"/>
      </w:pPr>
      <w:r>
        <w:rPr>
          <w:rFonts w:hint="eastAsia"/>
        </w:rPr>
        <w:t>表B.1是政府间气候变化专门委员会（IPCC）《气候变化报告2021:自然科学基础 第一工作组对IPCC第六次评估报告的贡献》中给出的部分温室气体GWP。当IPCC公布新的数据,用新数据取代表B.1。</w:t>
      </w:r>
    </w:p>
    <w:p w14:paraId="332CDD93">
      <w:pPr>
        <w:pStyle w:val="77"/>
        <w:spacing w:before="120" w:after="120"/>
      </w:pPr>
      <w:r>
        <w:rPr>
          <w:rFonts w:hint="eastAsia"/>
        </w:rPr>
        <w:t>部分GHG的GWP参考值</w:t>
      </w:r>
    </w:p>
    <w:tbl>
      <w:tblPr>
        <w:tblStyle w:val="27"/>
        <w:tblW w:w="93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2"/>
        <w:gridCol w:w="2762"/>
        <w:gridCol w:w="3822"/>
      </w:tblGrid>
      <w:tr w14:paraId="0430F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8" w:space="0"/>
              <w:left w:val="single" w:color="auto" w:sz="8" w:space="0"/>
              <w:bottom w:val="single" w:color="auto" w:sz="4" w:space="0"/>
              <w:right w:val="single" w:color="auto" w:sz="4" w:space="0"/>
            </w:tcBorders>
          </w:tcPr>
          <w:p w14:paraId="3A272C51">
            <w:pPr>
              <w:pStyle w:val="56"/>
              <w:ind w:firstLine="0" w:firstLineChars="0"/>
              <w:jc w:val="center"/>
            </w:pPr>
            <w:r>
              <w:rPr>
                <w:rFonts w:hint="eastAsia"/>
              </w:rPr>
              <w:t>气体名称</w:t>
            </w:r>
          </w:p>
        </w:tc>
        <w:tc>
          <w:tcPr>
            <w:tcW w:w="2762" w:type="dxa"/>
            <w:tcBorders>
              <w:top w:val="single" w:color="auto" w:sz="8" w:space="0"/>
              <w:left w:val="single" w:color="auto" w:sz="4" w:space="0"/>
              <w:bottom w:val="single" w:color="auto" w:sz="4" w:space="0"/>
              <w:right w:val="single" w:color="auto" w:sz="4" w:space="0"/>
            </w:tcBorders>
          </w:tcPr>
          <w:p w14:paraId="0BDBE3FD">
            <w:pPr>
              <w:pStyle w:val="56"/>
              <w:ind w:firstLine="0" w:firstLineChars="0"/>
              <w:jc w:val="center"/>
            </w:pPr>
            <w:r>
              <w:rPr>
                <w:rFonts w:hint="eastAsia"/>
              </w:rPr>
              <w:t>化学分子式</w:t>
            </w:r>
          </w:p>
        </w:tc>
        <w:tc>
          <w:tcPr>
            <w:tcW w:w="3822" w:type="dxa"/>
            <w:tcBorders>
              <w:top w:val="single" w:color="auto" w:sz="8" w:space="0"/>
              <w:left w:val="single" w:color="auto" w:sz="4" w:space="0"/>
              <w:bottom w:val="single" w:color="auto" w:sz="4" w:space="0"/>
              <w:right w:val="single" w:color="auto" w:sz="8" w:space="0"/>
            </w:tcBorders>
          </w:tcPr>
          <w:p w14:paraId="0DC61C1B">
            <w:pPr>
              <w:pStyle w:val="56"/>
              <w:ind w:firstLine="0" w:firstLineChars="0"/>
              <w:jc w:val="center"/>
            </w:pPr>
            <w:r>
              <w:rPr>
                <w:rFonts w:hint="eastAsia"/>
              </w:rPr>
              <w:t>100年的GWP（截至出版时）</w:t>
            </w:r>
          </w:p>
        </w:tc>
      </w:tr>
      <w:tr w14:paraId="34247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4" w:space="0"/>
              <w:left w:val="single" w:color="auto" w:sz="8" w:space="0"/>
              <w:bottom w:val="single" w:color="auto" w:sz="4" w:space="0"/>
              <w:right w:val="single" w:color="auto" w:sz="4" w:space="0"/>
            </w:tcBorders>
          </w:tcPr>
          <w:p w14:paraId="66994057">
            <w:pPr>
              <w:pStyle w:val="56"/>
              <w:ind w:firstLine="0" w:firstLineChars="0"/>
              <w:jc w:val="center"/>
            </w:pPr>
            <w:r>
              <w:t>二氧化碳</w:t>
            </w:r>
          </w:p>
        </w:tc>
        <w:tc>
          <w:tcPr>
            <w:tcW w:w="2762" w:type="dxa"/>
            <w:tcBorders>
              <w:top w:val="single" w:color="auto" w:sz="4" w:space="0"/>
              <w:left w:val="single" w:color="auto" w:sz="4" w:space="0"/>
              <w:bottom w:val="single" w:color="auto" w:sz="4" w:space="0"/>
              <w:right w:val="single" w:color="auto" w:sz="4" w:space="0"/>
            </w:tcBorders>
          </w:tcPr>
          <w:p w14:paraId="20463E6C">
            <w:pPr>
              <w:pStyle w:val="56"/>
              <w:ind w:firstLine="0" w:firstLineChars="0"/>
              <w:jc w:val="center"/>
            </w:pPr>
            <w:r>
              <w:t>CO</w:t>
            </w:r>
            <w:r>
              <w:rPr>
                <w:vertAlign w:val="subscript"/>
              </w:rPr>
              <w:t>2</w:t>
            </w:r>
          </w:p>
        </w:tc>
        <w:tc>
          <w:tcPr>
            <w:tcW w:w="3822" w:type="dxa"/>
            <w:tcBorders>
              <w:top w:val="single" w:color="auto" w:sz="4" w:space="0"/>
              <w:left w:val="single" w:color="auto" w:sz="4" w:space="0"/>
              <w:bottom w:val="single" w:color="auto" w:sz="4" w:space="0"/>
              <w:right w:val="single" w:color="auto" w:sz="8" w:space="0"/>
            </w:tcBorders>
          </w:tcPr>
          <w:p w14:paraId="41D56F87">
            <w:pPr>
              <w:pStyle w:val="56"/>
              <w:ind w:firstLine="0" w:firstLineChars="0"/>
              <w:jc w:val="center"/>
            </w:pPr>
            <w:r>
              <w:rPr>
                <w:rFonts w:hint="eastAsia"/>
              </w:rPr>
              <w:t>1</w:t>
            </w:r>
          </w:p>
        </w:tc>
      </w:tr>
      <w:tr w14:paraId="26E4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4" w:space="0"/>
              <w:left w:val="single" w:color="auto" w:sz="8" w:space="0"/>
              <w:bottom w:val="single" w:color="auto" w:sz="4" w:space="0"/>
              <w:right w:val="single" w:color="auto" w:sz="4" w:space="0"/>
            </w:tcBorders>
          </w:tcPr>
          <w:p w14:paraId="7583C5D2">
            <w:pPr>
              <w:pStyle w:val="56"/>
              <w:ind w:firstLine="0" w:firstLineChars="0"/>
              <w:jc w:val="center"/>
            </w:pPr>
            <w:r>
              <w:t>甲烷</w:t>
            </w:r>
          </w:p>
        </w:tc>
        <w:tc>
          <w:tcPr>
            <w:tcW w:w="2762" w:type="dxa"/>
            <w:tcBorders>
              <w:top w:val="single" w:color="auto" w:sz="4" w:space="0"/>
              <w:left w:val="single" w:color="auto" w:sz="4" w:space="0"/>
              <w:bottom w:val="single" w:color="auto" w:sz="4" w:space="0"/>
              <w:right w:val="single" w:color="auto" w:sz="4" w:space="0"/>
            </w:tcBorders>
          </w:tcPr>
          <w:p w14:paraId="5B48F99B">
            <w:pPr>
              <w:pStyle w:val="56"/>
              <w:ind w:firstLine="0" w:firstLineChars="0"/>
              <w:jc w:val="center"/>
            </w:pPr>
            <w:r>
              <w:t>CH</w:t>
            </w:r>
            <w:r>
              <w:rPr>
                <w:vertAlign w:val="subscript"/>
              </w:rPr>
              <w:t>4</w:t>
            </w:r>
          </w:p>
        </w:tc>
        <w:tc>
          <w:tcPr>
            <w:tcW w:w="3822" w:type="dxa"/>
            <w:tcBorders>
              <w:top w:val="single" w:color="auto" w:sz="4" w:space="0"/>
              <w:left w:val="single" w:color="auto" w:sz="4" w:space="0"/>
              <w:bottom w:val="single" w:color="auto" w:sz="4" w:space="0"/>
              <w:right w:val="single" w:color="auto" w:sz="8" w:space="0"/>
            </w:tcBorders>
          </w:tcPr>
          <w:p w14:paraId="199C93F1">
            <w:pPr>
              <w:pStyle w:val="56"/>
              <w:ind w:firstLine="0" w:firstLineChars="0"/>
              <w:jc w:val="center"/>
            </w:pPr>
            <w:r>
              <w:rPr>
                <w:rFonts w:hint="eastAsia"/>
              </w:rPr>
              <w:t>27.9</w:t>
            </w:r>
          </w:p>
        </w:tc>
      </w:tr>
      <w:tr w14:paraId="1F58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4" w:space="0"/>
              <w:left w:val="single" w:color="auto" w:sz="8" w:space="0"/>
              <w:bottom w:val="single" w:color="auto" w:sz="4" w:space="0"/>
              <w:right w:val="single" w:color="auto" w:sz="4" w:space="0"/>
            </w:tcBorders>
          </w:tcPr>
          <w:p w14:paraId="1BF2D9F8">
            <w:pPr>
              <w:pStyle w:val="56"/>
              <w:ind w:firstLine="0" w:firstLineChars="0"/>
              <w:jc w:val="center"/>
            </w:pPr>
            <w:r>
              <w:t>氧化亚氮</w:t>
            </w:r>
          </w:p>
        </w:tc>
        <w:tc>
          <w:tcPr>
            <w:tcW w:w="2762" w:type="dxa"/>
            <w:tcBorders>
              <w:top w:val="single" w:color="auto" w:sz="4" w:space="0"/>
              <w:left w:val="single" w:color="auto" w:sz="4" w:space="0"/>
              <w:bottom w:val="single" w:color="auto" w:sz="4" w:space="0"/>
              <w:right w:val="single" w:color="auto" w:sz="4" w:space="0"/>
            </w:tcBorders>
          </w:tcPr>
          <w:p w14:paraId="4EA0B68A">
            <w:pPr>
              <w:pStyle w:val="56"/>
              <w:ind w:firstLine="0" w:firstLineChars="0"/>
              <w:jc w:val="center"/>
            </w:pPr>
            <w:r>
              <w:t>N</w:t>
            </w:r>
            <w:r>
              <w:rPr>
                <w:vertAlign w:val="subscript"/>
              </w:rPr>
              <w:t>2</w:t>
            </w:r>
            <w:r>
              <w:t>O</w:t>
            </w:r>
          </w:p>
        </w:tc>
        <w:tc>
          <w:tcPr>
            <w:tcW w:w="3822" w:type="dxa"/>
            <w:tcBorders>
              <w:top w:val="single" w:color="auto" w:sz="4" w:space="0"/>
              <w:left w:val="single" w:color="auto" w:sz="4" w:space="0"/>
              <w:bottom w:val="single" w:color="auto" w:sz="4" w:space="0"/>
              <w:right w:val="single" w:color="auto" w:sz="8" w:space="0"/>
            </w:tcBorders>
          </w:tcPr>
          <w:p w14:paraId="0687B5DC">
            <w:pPr>
              <w:pStyle w:val="56"/>
              <w:ind w:firstLine="0" w:firstLineChars="0"/>
              <w:jc w:val="center"/>
            </w:pPr>
            <w:r>
              <w:rPr>
                <w:rFonts w:hint="eastAsia"/>
              </w:rPr>
              <w:t>273</w:t>
            </w:r>
          </w:p>
        </w:tc>
      </w:tr>
      <w:tr w14:paraId="03C0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4" w:space="0"/>
              <w:left w:val="single" w:color="auto" w:sz="8" w:space="0"/>
              <w:bottom w:val="single" w:color="auto" w:sz="4" w:space="0"/>
              <w:right w:val="single" w:color="auto" w:sz="4" w:space="0"/>
            </w:tcBorders>
          </w:tcPr>
          <w:p w14:paraId="1FF56333">
            <w:pPr>
              <w:pStyle w:val="56"/>
              <w:ind w:firstLine="0" w:firstLineChars="0"/>
              <w:jc w:val="center"/>
            </w:pPr>
            <w:r>
              <w:t>三氟化氮</w:t>
            </w:r>
          </w:p>
        </w:tc>
        <w:tc>
          <w:tcPr>
            <w:tcW w:w="2762" w:type="dxa"/>
            <w:tcBorders>
              <w:top w:val="single" w:color="auto" w:sz="4" w:space="0"/>
              <w:left w:val="single" w:color="auto" w:sz="4" w:space="0"/>
              <w:bottom w:val="single" w:color="auto" w:sz="4" w:space="0"/>
              <w:right w:val="single" w:color="auto" w:sz="4" w:space="0"/>
            </w:tcBorders>
          </w:tcPr>
          <w:p w14:paraId="23EB6C74">
            <w:pPr>
              <w:pStyle w:val="56"/>
              <w:ind w:firstLine="0" w:firstLineChars="0"/>
              <w:jc w:val="center"/>
            </w:pPr>
            <w:r>
              <w:t>NF</w:t>
            </w:r>
            <w:r>
              <w:rPr>
                <w:vertAlign w:val="subscript"/>
              </w:rPr>
              <w:t>3</w:t>
            </w:r>
          </w:p>
        </w:tc>
        <w:tc>
          <w:tcPr>
            <w:tcW w:w="3822" w:type="dxa"/>
            <w:tcBorders>
              <w:top w:val="single" w:color="auto" w:sz="4" w:space="0"/>
              <w:left w:val="single" w:color="auto" w:sz="4" w:space="0"/>
              <w:bottom w:val="single" w:color="auto" w:sz="4" w:space="0"/>
              <w:right w:val="single" w:color="auto" w:sz="8" w:space="0"/>
            </w:tcBorders>
          </w:tcPr>
          <w:p w14:paraId="19AC5836">
            <w:pPr>
              <w:pStyle w:val="56"/>
              <w:ind w:firstLine="0" w:firstLineChars="0"/>
              <w:jc w:val="center"/>
            </w:pPr>
            <w:r>
              <w:rPr>
                <w:rFonts w:hint="eastAsia"/>
              </w:rPr>
              <w:t>17 400</w:t>
            </w:r>
          </w:p>
        </w:tc>
      </w:tr>
      <w:tr w14:paraId="285E8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4" w:space="0"/>
              <w:left w:val="single" w:color="auto" w:sz="8" w:space="0"/>
              <w:bottom w:val="single" w:color="auto" w:sz="4" w:space="0"/>
              <w:right w:val="single" w:color="auto" w:sz="4" w:space="0"/>
            </w:tcBorders>
          </w:tcPr>
          <w:p w14:paraId="1978AE4F">
            <w:pPr>
              <w:pStyle w:val="56"/>
              <w:ind w:firstLine="0" w:firstLineChars="0"/>
              <w:jc w:val="center"/>
            </w:pPr>
            <w:r>
              <w:t>六氟化硫</w:t>
            </w:r>
          </w:p>
        </w:tc>
        <w:tc>
          <w:tcPr>
            <w:tcW w:w="2762" w:type="dxa"/>
            <w:tcBorders>
              <w:top w:val="single" w:color="auto" w:sz="4" w:space="0"/>
              <w:left w:val="single" w:color="auto" w:sz="4" w:space="0"/>
              <w:bottom w:val="single" w:color="auto" w:sz="4" w:space="0"/>
              <w:right w:val="single" w:color="auto" w:sz="4" w:space="0"/>
            </w:tcBorders>
          </w:tcPr>
          <w:p w14:paraId="45C3D588">
            <w:pPr>
              <w:pStyle w:val="56"/>
              <w:ind w:firstLine="0" w:firstLineChars="0"/>
              <w:jc w:val="center"/>
            </w:pPr>
            <w:r>
              <w:t>SF</w:t>
            </w:r>
            <w:r>
              <w:rPr>
                <w:vertAlign w:val="subscript"/>
              </w:rPr>
              <w:t>6</w:t>
            </w:r>
          </w:p>
        </w:tc>
        <w:tc>
          <w:tcPr>
            <w:tcW w:w="3822" w:type="dxa"/>
            <w:tcBorders>
              <w:top w:val="single" w:color="auto" w:sz="4" w:space="0"/>
              <w:left w:val="single" w:color="auto" w:sz="4" w:space="0"/>
              <w:bottom w:val="single" w:color="auto" w:sz="4" w:space="0"/>
              <w:right w:val="single" w:color="auto" w:sz="8" w:space="0"/>
            </w:tcBorders>
          </w:tcPr>
          <w:p w14:paraId="04E38B2A">
            <w:pPr>
              <w:pStyle w:val="56"/>
              <w:ind w:firstLine="0" w:firstLineChars="0"/>
              <w:jc w:val="center"/>
            </w:pPr>
            <w:r>
              <w:rPr>
                <w:rFonts w:hint="eastAsia"/>
              </w:rPr>
              <w:t>25 200</w:t>
            </w:r>
          </w:p>
        </w:tc>
      </w:tr>
      <w:tr w14:paraId="0CA61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6" w:type="dxa"/>
            <w:gridSpan w:val="3"/>
            <w:tcBorders>
              <w:top w:val="single" w:color="auto" w:sz="4" w:space="0"/>
              <w:left w:val="single" w:color="auto" w:sz="8" w:space="0"/>
              <w:bottom w:val="single" w:color="auto" w:sz="4" w:space="0"/>
              <w:right w:val="single" w:color="auto" w:sz="8" w:space="0"/>
            </w:tcBorders>
          </w:tcPr>
          <w:p w14:paraId="4E2F6E44">
            <w:pPr>
              <w:pStyle w:val="56"/>
              <w:ind w:firstLine="0" w:firstLineChars="0"/>
              <w:jc w:val="center"/>
            </w:pPr>
            <w:r>
              <w:t>氢氟碳化物</w:t>
            </w:r>
            <w:r>
              <w:rPr>
                <w:rFonts w:hint="eastAsia"/>
              </w:rPr>
              <w:t>（</w:t>
            </w:r>
            <w:r>
              <w:t>HFCs</w:t>
            </w:r>
            <w:r>
              <w:rPr>
                <w:rFonts w:hint="eastAsia"/>
              </w:rPr>
              <w:t>）</w:t>
            </w:r>
          </w:p>
        </w:tc>
      </w:tr>
      <w:tr w14:paraId="5A5D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4" w:space="0"/>
              <w:left w:val="single" w:color="auto" w:sz="8" w:space="0"/>
              <w:bottom w:val="single" w:color="auto" w:sz="4" w:space="0"/>
              <w:right w:val="single" w:color="auto" w:sz="4" w:space="0"/>
            </w:tcBorders>
          </w:tcPr>
          <w:p w14:paraId="5A246700">
            <w:pPr>
              <w:pStyle w:val="56"/>
              <w:ind w:firstLine="0" w:firstLineChars="0"/>
              <w:jc w:val="center"/>
            </w:pPr>
            <w:r>
              <w:t>HFC-23</w:t>
            </w:r>
          </w:p>
        </w:tc>
        <w:tc>
          <w:tcPr>
            <w:tcW w:w="2762" w:type="dxa"/>
            <w:tcBorders>
              <w:top w:val="single" w:color="auto" w:sz="4" w:space="0"/>
              <w:left w:val="single" w:color="auto" w:sz="4" w:space="0"/>
              <w:bottom w:val="single" w:color="auto" w:sz="4" w:space="0"/>
              <w:right w:val="single" w:color="auto" w:sz="4" w:space="0"/>
            </w:tcBorders>
          </w:tcPr>
          <w:p w14:paraId="419048A9">
            <w:pPr>
              <w:pStyle w:val="56"/>
              <w:ind w:firstLine="0" w:firstLineChars="0"/>
              <w:jc w:val="center"/>
            </w:pPr>
            <w:r>
              <w:t>CHF</w:t>
            </w:r>
            <w:r>
              <w:rPr>
                <w:vertAlign w:val="subscript"/>
              </w:rPr>
              <w:t>3</w:t>
            </w:r>
          </w:p>
        </w:tc>
        <w:tc>
          <w:tcPr>
            <w:tcW w:w="3822" w:type="dxa"/>
            <w:tcBorders>
              <w:top w:val="single" w:color="auto" w:sz="4" w:space="0"/>
              <w:left w:val="single" w:color="auto" w:sz="4" w:space="0"/>
              <w:bottom w:val="single" w:color="auto" w:sz="4" w:space="0"/>
              <w:right w:val="single" w:color="auto" w:sz="8" w:space="0"/>
            </w:tcBorders>
          </w:tcPr>
          <w:p w14:paraId="5740572E">
            <w:pPr>
              <w:pStyle w:val="56"/>
              <w:ind w:firstLine="0" w:firstLineChars="0"/>
              <w:jc w:val="center"/>
            </w:pPr>
            <w:r>
              <w:rPr>
                <w:rFonts w:hint="eastAsia"/>
              </w:rPr>
              <w:t>14 600</w:t>
            </w:r>
          </w:p>
        </w:tc>
      </w:tr>
      <w:tr w14:paraId="67ADB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4" w:space="0"/>
              <w:left w:val="single" w:color="auto" w:sz="8" w:space="0"/>
              <w:bottom w:val="single" w:color="auto" w:sz="4" w:space="0"/>
              <w:right w:val="single" w:color="auto" w:sz="4" w:space="0"/>
            </w:tcBorders>
          </w:tcPr>
          <w:p w14:paraId="4D2F8624">
            <w:pPr>
              <w:pStyle w:val="56"/>
              <w:ind w:firstLine="0" w:firstLineChars="0"/>
              <w:jc w:val="center"/>
            </w:pPr>
            <w:r>
              <w:t>HFC-</w:t>
            </w:r>
            <w:r>
              <w:rPr>
                <w:rFonts w:hint="eastAsia"/>
              </w:rPr>
              <w:t>32</w:t>
            </w:r>
          </w:p>
        </w:tc>
        <w:tc>
          <w:tcPr>
            <w:tcW w:w="2762" w:type="dxa"/>
            <w:tcBorders>
              <w:top w:val="single" w:color="auto" w:sz="4" w:space="0"/>
              <w:left w:val="single" w:color="auto" w:sz="4" w:space="0"/>
              <w:bottom w:val="single" w:color="auto" w:sz="4" w:space="0"/>
              <w:right w:val="single" w:color="auto" w:sz="4" w:space="0"/>
            </w:tcBorders>
          </w:tcPr>
          <w:p w14:paraId="3339EB0C">
            <w:pPr>
              <w:pStyle w:val="56"/>
              <w:ind w:firstLine="0" w:firstLineChars="0"/>
              <w:jc w:val="center"/>
            </w:pPr>
            <w:r>
              <w:t>CH</w:t>
            </w:r>
            <w:r>
              <w:rPr>
                <w:vertAlign w:val="subscript"/>
              </w:rPr>
              <w:t>2</w:t>
            </w:r>
            <w:r>
              <w:t>F</w:t>
            </w:r>
            <w:r>
              <w:rPr>
                <w:vertAlign w:val="subscript"/>
              </w:rPr>
              <w:t>2</w:t>
            </w:r>
          </w:p>
        </w:tc>
        <w:tc>
          <w:tcPr>
            <w:tcW w:w="3822" w:type="dxa"/>
            <w:tcBorders>
              <w:top w:val="single" w:color="auto" w:sz="4" w:space="0"/>
              <w:left w:val="single" w:color="auto" w:sz="4" w:space="0"/>
              <w:bottom w:val="single" w:color="auto" w:sz="4" w:space="0"/>
              <w:right w:val="single" w:color="auto" w:sz="8" w:space="0"/>
            </w:tcBorders>
          </w:tcPr>
          <w:p w14:paraId="4FFAE847">
            <w:pPr>
              <w:pStyle w:val="56"/>
              <w:ind w:firstLine="0" w:firstLineChars="0"/>
              <w:jc w:val="center"/>
            </w:pPr>
            <w:r>
              <w:rPr>
                <w:rFonts w:hint="eastAsia"/>
              </w:rPr>
              <w:t>771</w:t>
            </w:r>
          </w:p>
        </w:tc>
      </w:tr>
      <w:tr w14:paraId="120A5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4" w:space="0"/>
              <w:left w:val="single" w:color="auto" w:sz="8" w:space="0"/>
              <w:bottom w:val="single" w:color="auto" w:sz="4" w:space="0"/>
              <w:right w:val="single" w:color="auto" w:sz="4" w:space="0"/>
            </w:tcBorders>
            <w:vAlign w:val="center"/>
          </w:tcPr>
          <w:p w14:paraId="0EA39F20">
            <w:pPr>
              <w:pStyle w:val="56"/>
              <w:ind w:firstLine="0" w:firstLineChars="0"/>
              <w:jc w:val="center"/>
            </w:pPr>
            <w:r>
              <w:t>HFC-</w:t>
            </w:r>
            <w:r>
              <w:rPr>
                <w:rFonts w:hint="eastAsia"/>
              </w:rPr>
              <w:t>41</w:t>
            </w:r>
          </w:p>
        </w:tc>
        <w:tc>
          <w:tcPr>
            <w:tcW w:w="2762" w:type="dxa"/>
            <w:tcBorders>
              <w:top w:val="single" w:color="auto" w:sz="4" w:space="0"/>
              <w:left w:val="single" w:color="auto" w:sz="4" w:space="0"/>
              <w:bottom w:val="single" w:color="auto" w:sz="4" w:space="0"/>
              <w:right w:val="single" w:color="auto" w:sz="4" w:space="0"/>
            </w:tcBorders>
          </w:tcPr>
          <w:p w14:paraId="361C3F54">
            <w:pPr>
              <w:pStyle w:val="56"/>
              <w:ind w:firstLine="0" w:firstLineChars="0"/>
              <w:jc w:val="center"/>
            </w:pPr>
            <w:r>
              <w:t>CH</w:t>
            </w:r>
            <w:r>
              <w:rPr>
                <w:vertAlign w:val="subscript"/>
              </w:rPr>
              <w:t>3</w:t>
            </w:r>
            <w:r>
              <w:t>F</w:t>
            </w:r>
          </w:p>
        </w:tc>
        <w:tc>
          <w:tcPr>
            <w:tcW w:w="3822" w:type="dxa"/>
            <w:tcBorders>
              <w:top w:val="single" w:color="auto" w:sz="4" w:space="0"/>
              <w:left w:val="single" w:color="auto" w:sz="4" w:space="0"/>
              <w:bottom w:val="single" w:color="auto" w:sz="4" w:space="0"/>
              <w:right w:val="single" w:color="auto" w:sz="8" w:space="0"/>
            </w:tcBorders>
          </w:tcPr>
          <w:p w14:paraId="74B655E6">
            <w:pPr>
              <w:pStyle w:val="56"/>
              <w:ind w:firstLine="0" w:firstLineChars="0"/>
              <w:jc w:val="center"/>
            </w:pPr>
            <w:r>
              <w:rPr>
                <w:rFonts w:hint="eastAsia"/>
              </w:rPr>
              <w:t>135</w:t>
            </w:r>
          </w:p>
        </w:tc>
      </w:tr>
      <w:tr w14:paraId="2FCCD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4" w:space="0"/>
              <w:left w:val="single" w:color="auto" w:sz="8" w:space="0"/>
              <w:bottom w:val="single" w:color="auto" w:sz="4" w:space="0"/>
              <w:right w:val="single" w:color="auto" w:sz="4" w:space="0"/>
            </w:tcBorders>
            <w:vAlign w:val="center"/>
          </w:tcPr>
          <w:p w14:paraId="31C53E9B">
            <w:pPr>
              <w:pStyle w:val="56"/>
              <w:ind w:firstLine="0" w:firstLineChars="0"/>
              <w:jc w:val="center"/>
            </w:pPr>
            <w:r>
              <w:t>HFC-</w:t>
            </w:r>
            <w:r>
              <w:rPr>
                <w:rFonts w:hint="eastAsia"/>
              </w:rPr>
              <w:t>125</w:t>
            </w:r>
          </w:p>
        </w:tc>
        <w:tc>
          <w:tcPr>
            <w:tcW w:w="2762" w:type="dxa"/>
            <w:tcBorders>
              <w:top w:val="single" w:color="auto" w:sz="4" w:space="0"/>
              <w:left w:val="single" w:color="auto" w:sz="4" w:space="0"/>
              <w:bottom w:val="single" w:color="auto" w:sz="4" w:space="0"/>
              <w:right w:val="single" w:color="auto" w:sz="4" w:space="0"/>
            </w:tcBorders>
          </w:tcPr>
          <w:p w14:paraId="76FF9B45">
            <w:pPr>
              <w:pStyle w:val="56"/>
              <w:ind w:firstLine="0" w:firstLineChars="0"/>
              <w:jc w:val="center"/>
            </w:pPr>
            <w:r>
              <w:t>C</w:t>
            </w:r>
            <w:r>
              <w:rPr>
                <w:vertAlign w:val="subscript"/>
              </w:rPr>
              <w:t>2</w:t>
            </w:r>
            <w:r>
              <w:t>HF</w:t>
            </w:r>
            <w:r>
              <w:rPr>
                <w:vertAlign w:val="subscript"/>
              </w:rPr>
              <w:t>5</w:t>
            </w:r>
          </w:p>
        </w:tc>
        <w:tc>
          <w:tcPr>
            <w:tcW w:w="3822" w:type="dxa"/>
            <w:tcBorders>
              <w:top w:val="single" w:color="auto" w:sz="4" w:space="0"/>
              <w:left w:val="single" w:color="auto" w:sz="4" w:space="0"/>
              <w:bottom w:val="single" w:color="auto" w:sz="4" w:space="0"/>
              <w:right w:val="single" w:color="auto" w:sz="8" w:space="0"/>
            </w:tcBorders>
          </w:tcPr>
          <w:p w14:paraId="46F49389">
            <w:pPr>
              <w:pStyle w:val="56"/>
              <w:ind w:firstLine="0" w:firstLineChars="0"/>
              <w:jc w:val="center"/>
            </w:pPr>
            <w:r>
              <w:rPr>
                <w:rFonts w:hint="eastAsia"/>
              </w:rPr>
              <w:t>3 740</w:t>
            </w:r>
          </w:p>
        </w:tc>
      </w:tr>
      <w:tr w14:paraId="129E0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4" w:space="0"/>
              <w:left w:val="single" w:color="auto" w:sz="8" w:space="0"/>
              <w:bottom w:val="single" w:color="auto" w:sz="4" w:space="0"/>
              <w:right w:val="single" w:color="auto" w:sz="4" w:space="0"/>
            </w:tcBorders>
            <w:vAlign w:val="center"/>
          </w:tcPr>
          <w:p w14:paraId="60668141">
            <w:pPr>
              <w:pStyle w:val="56"/>
              <w:ind w:firstLine="0" w:firstLineChars="0"/>
              <w:jc w:val="center"/>
            </w:pPr>
            <w:r>
              <w:t>HFC-</w:t>
            </w:r>
            <w:r>
              <w:rPr>
                <w:rFonts w:hint="eastAsia"/>
              </w:rPr>
              <w:t>134</w:t>
            </w:r>
          </w:p>
        </w:tc>
        <w:tc>
          <w:tcPr>
            <w:tcW w:w="2762" w:type="dxa"/>
            <w:tcBorders>
              <w:top w:val="single" w:color="auto" w:sz="4" w:space="0"/>
              <w:left w:val="single" w:color="auto" w:sz="4" w:space="0"/>
              <w:bottom w:val="single" w:color="auto" w:sz="4" w:space="0"/>
              <w:right w:val="single" w:color="auto" w:sz="4" w:space="0"/>
            </w:tcBorders>
          </w:tcPr>
          <w:p w14:paraId="57797A25">
            <w:pPr>
              <w:pStyle w:val="56"/>
              <w:ind w:firstLine="0" w:firstLineChars="0"/>
              <w:jc w:val="center"/>
            </w:pPr>
            <w:r>
              <w:t>CHF</w:t>
            </w:r>
            <w:r>
              <w:rPr>
                <w:vertAlign w:val="subscript"/>
              </w:rPr>
              <w:t>2</w:t>
            </w:r>
            <w:r>
              <w:t>CHF</w:t>
            </w:r>
            <w:r>
              <w:rPr>
                <w:vertAlign w:val="subscript"/>
              </w:rPr>
              <w:t>2</w:t>
            </w:r>
          </w:p>
        </w:tc>
        <w:tc>
          <w:tcPr>
            <w:tcW w:w="3822" w:type="dxa"/>
            <w:tcBorders>
              <w:top w:val="single" w:color="auto" w:sz="4" w:space="0"/>
              <w:left w:val="single" w:color="auto" w:sz="4" w:space="0"/>
              <w:bottom w:val="single" w:color="auto" w:sz="4" w:space="0"/>
              <w:right w:val="single" w:color="auto" w:sz="8" w:space="0"/>
            </w:tcBorders>
          </w:tcPr>
          <w:p w14:paraId="6A4FCDFB">
            <w:pPr>
              <w:pStyle w:val="56"/>
              <w:ind w:firstLine="0" w:firstLineChars="0"/>
              <w:jc w:val="center"/>
            </w:pPr>
            <w:r>
              <w:rPr>
                <w:rFonts w:hint="eastAsia"/>
              </w:rPr>
              <w:t>1 260</w:t>
            </w:r>
          </w:p>
        </w:tc>
      </w:tr>
      <w:tr w14:paraId="5FBAB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4" w:space="0"/>
              <w:left w:val="single" w:color="auto" w:sz="8" w:space="0"/>
              <w:bottom w:val="single" w:color="auto" w:sz="4" w:space="0"/>
              <w:right w:val="single" w:color="auto" w:sz="4" w:space="0"/>
            </w:tcBorders>
            <w:vAlign w:val="center"/>
          </w:tcPr>
          <w:p w14:paraId="54CAF146">
            <w:pPr>
              <w:pStyle w:val="56"/>
              <w:ind w:firstLine="0" w:firstLineChars="0"/>
              <w:jc w:val="center"/>
            </w:pPr>
            <w:r>
              <w:t>HFC-</w:t>
            </w:r>
            <w:r>
              <w:rPr>
                <w:rFonts w:hint="eastAsia"/>
              </w:rPr>
              <w:t>134a</w:t>
            </w:r>
          </w:p>
        </w:tc>
        <w:tc>
          <w:tcPr>
            <w:tcW w:w="2762" w:type="dxa"/>
            <w:tcBorders>
              <w:top w:val="single" w:color="auto" w:sz="4" w:space="0"/>
              <w:left w:val="single" w:color="auto" w:sz="4" w:space="0"/>
              <w:bottom w:val="single" w:color="auto" w:sz="4" w:space="0"/>
              <w:right w:val="single" w:color="auto" w:sz="4" w:space="0"/>
            </w:tcBorders>
          </w:tcPr>
          <w:p w14:paraId="0896FD73">
            <w:pPr>
              <w:pStyle w:val="56"/>
              <w:ind w:firstLine="0" w:firstLineChars="0"/>
              <w:jc w:val="center"/>
            </w:pPr>
            <w:r>
              <w:t>C</w:t>
            </w:r>
            <w:r>
              <w:rPr>
                <w:vertAlign w:val="subscript"/>
              </w:rPr>
              <w:t>2</w:t>
            </w:r>
            <w:r>
              <w:t>H</w:t>
            </w:r>
            <w:r>
              <w:rPr>
                <w:vertAlign w:val="subscript"/>
              </w:rPr>
              <w:t>2</w:t>
            </w:r>
            <w:r>
              <w:t>F</w:t>
            </w:r>
            <w:r>
              <w:rPr>
                <w:vertAlign w:val="subscript"/>
              </w:rPr>
              <w:t>4</w:t>
            </w:r>
          </w:p>
        </w:tc>
        <w:tc>
          <w:tcPr>
            <w:tcW w:w="3822" w:type="dxa"/>
            <w:tcBorders>
              <w:top w:val="single" w:color="auto" w:sz="4" w:space="0"/>
              <w:left w:val="single" w:color="auto" w:sz="4" w:space="0"/>
              <w:bottom w:val="single" w:color="auto" w:sz="4" w:space="0"/>
              <w:right w:val="single" w:color="auto" w:sz="8" w:space="0"/>
            </w:tcBorders>
          </w:tcPr>
          <w:p w14:paraId="2385D149">
            <w:pPr>
              <w:pStyle w:val="56"/>
              <w:ind w:firstLine="0" w:firstLineChars="0"/>
              <w:jc w:val="center"/>
            </w:pPr>
            <w:r>
              <w:rPr>
                <w:rFonts w:hint="eastAsia"/>
              </w:rPr>
              <w:t>1 530</w:t>
            </w:r>
          </w:p>
        </w:tc>
      </w:tr>
      <w:tr w14:paraId="3B1C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4" w:space="0"/>
              <w:left w:val="single" w:color="auto" w:sz="8" w:space="0"/>
              <w:bottom w:val="single" w:color="auto" w:sz="4" w:space="0"/>
              <w:right w:val="single" w:color="auto" w:sz="4" w:space="0"/>
            </w:tcBorders>
            <w:vAlign w:val="center"/>
          </w:tcPr>
          <w:p w14:paraId="187DDD14">
            <w:pPr>
              <w:pStyle w:val="56"/>
              <w:ind w:firstLine="0" w:firstLineChars="0"/>
              <w:jc w:val="center"/>
            </w:pPr>
            <w:r>
              <w:t>HFC-</w:t>
            </w:r>
            <w:r>
              <w:rPr>
                <w:rFonts w:hint="eastAsia"/>
              </w:rPr>
              <w:t>143</w:t>
            </w:r>
          </w:p>
        </w:tc>
        <w:tc>
          <w:tcPr>
            <w:tcW w:w="2762" w:type="dxa"/>
            <w:tcBorders>
              <w:top w:val="single" w:color="auto" w:sz="4" w:space="0"/>
              <w:left w:val="single" w:color="auto" w:sz="4" w:space="0"/>
              <w:bottom w:val="single" w:color="auto" w:sz="4" w:space="0"/>
              <w:right w:val="single" w:color="auto" w:sz="4" w:space="0"/>
            </w:tcBorders>
          </w:tcPr>
          <w:p w14:paraId="2F971A04">
            <w:pPr>
              <w:pStyle w:val="56"/>
              <w:ind w:firstLine="0" w:firstLineChars="0"/>
              <w:jc w:val="center"/>
            </w:pPr>
            <w:r>
              <w:t>CH</w:t>
            </w:r>
            <w:r>
              <w:rPr>
                <w:vertAlign w:val="subscript"/>
              </w:rPr>
              <w:t>2</w:t>
            </w:r>
            <w:r>
              <w:t>FCHF</w:t>
            </w:r>
            <w:r>
              <w:rPr>
                <w:rFonts w:hint="eastAsia"/>
                <w:vertAlign w:val="subscript"/>
              </w:rPr>
              <w:t>2</w:t>
            </w:r>
          </w:p>
        </w:tc>
        <w:tc>
          <w:tcPr>
            <w:tcW w:w="3822" w:type="dxa"/>
            <w:tcBorders>
              <w:top w:val="single" w:color="auto" w:sz="4" w:space="0"/>
              <w:left w:val="single" w:color="auto" w:sz="4" w:space="0"/>
              <w:bottom w:val="single" w:color="auto" w:sz="4" w:space="0"/>
              <w:right w:val="single" w:color="auto" w:sz="8" w:space="0"/>
            </w:tcBorders>
          </w:tcPr>
          <w:p w14:paraId="52CDC572">
            <w:pPr>
              <w:pStyle w:val="56"/>
              <w:ind w:firstLine="0" w:firstLineChars="0"/>
              <w:jc w:val="center"/>
            </w:pPr>
            <w:r>
              <w:rPr>
                <w:rFonts w:hint="eastAsia"/>
              </w:rPr>
              <w:t>364</w:t>
            </w:r>
          </w:p>
        </w:tc>
      </w:tr>
      <w:tr w14:paraId="6C91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62" w:type="dxa"/>
            <w:tcBorders>
              <w:top w:val="single" w:color="auto" w:sz="4" w:space="0"/>
              <w:left w:val="single" w:color="auto" w:sz="8" w:space="0"/>
              <w:bottom w:val="single" w:color="auto" w:sz="4" w:space="0"/>
              <w:right w:val="single" w:color="auto" w:sz="4" w:space="0"/>
            </w:tcBorders>
            <w:vAlign w:val="center"/>
          </w:tcPr>
          <w:p w14:paraId="52D5283A">
            <w:pPr>
              <w:pStyle w:val="56"/>
              <w:ind w:firstLine="0" w:firstLineChars="0"/>
              <w:jc w:val="center"/>
            </w:pPr>
            <w:r>
              <w:t>HFC-</w:t>
            </w:r>
            <w:r>
              <w:rPr>
                <w:rFonts w:hint="eastAsia"/>
              </w:rPr>
              <w:t>143a</w:t>
            </w:r>
          </w:p>
        </w:tc>
        <w:tc>
          <w:tcPr>
            <w:tcW w:w="2762" w:type="dxa"/>
            <w:tcBorders>
              <w:top w:val="single" w:color="auto" w:sz="4" w:space="0"/>
              <w:left w:val="single" w:color="auto" w:sz="4" w:space="0"/>
              <w:bottom w:val="single" w:color="auto" w:sz="4" w:space="0"/>
              <w:right w:val="single" w:color="auto" w:sz="4" w:space="0"/>
            </w:tcBorders>
          </w:tcPr>
          <w:p w14:paraId="567527E3">
            <w:pPr>
              <w:pStyle w:val="56"/>
              <w:ind w:firstLine="0" w:firstLineChars="0"/>
              <w:jc w:val="center"/>
            </w:pPr>
            <w:r>
              <w:t>CH</w:t>
            </w:r>
            <w:r>
              <w:rPr>
                <w:vertAlign w:val="subscript"/>
              </w:rPr>
              <w:t>3</w:t>
            </w:r>
            <w:r>
              <w:t>CF</w:t>
            </w:r>
            <w:r>
              <w:rPr>
                <w:vertAlign w:val="subscript"/>
              </w:rPr>
              <w:t>3</w:t>
            </w:r>
          </w:p>
        </w:tc>
        <w:tc>
          <w:tcPr>
            <w:tcW w:w="3822" w:type="dxa"/>
            <w:tcBorders>
              <w:top w:val="single" w:color="auto" w:sz="4" w:space="0"/>
              <w:left w:val="single" w:color="auto" w:sz="4" w:space="0"/>
              <w:bottom w:val="single" w:color="auto" w:sz="4" w:space="0"/>
              <w:right w:val="single" w:color="auto" w:sz="8" w:space="0"/>
            </w:tcBorders>
          </w:tcPr>
          <w:p w14:paraId="6788221A">
            <w:pPr>
              <w:pStyle w:val="56"/>
              <w:ind w:firstLine="0" w:firstLineChars="0"/>
              <w:jc w:val="center"/>
            </w:pPr>
            <w:r>
              <w:rPr>
                <w:rFonts w:hint="eastAsia"/>
              </w:rPr>
              <w:t>5 810</w:t>
            </w:r>
          </w:p>
        </w:tc>
      </w:tr>
      <w:tr w14:paraId="5A5E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4" w:space="0"/>
              <w:left w:val="single" w:color="auto" w:sz="8" w:space="0"/>
              <w:bottom w:val="single" w:color="auto" w:sz="4" w:space="0"/>
              <w:right w:val="single" w:color="auto" w:sz="4" w:space="0"/>
            </w:tcBorders>
            <w:vAlign w:val="center"/>
          </w:tcPr>
          <w:p w14:paraId="1ABF5AEE">
            <w:pPr>
              <w:pStyle w:val="56"/>
              <w:ind w:firstLine="0" w:firstLineChars="0"/>
              <w:jc w:val="center"/>
            </w:pPr>
            <w:r>
              <w:t>HFC-</w:t>
            </w:r>
            <w:r>
              <w:rPr>
                <w:rFonts w:hint="eastAsia"/>
              </w:rPr>
              <w:t>152a</w:t>
            </w:r>
          </w:p>
        </w:tc>
        <w:tc>
          <w:tcPr>
            <w:tcW w:w="2762" w:type="dxa"/>
            <w:tcBorders>
              <w:top w:val="single" w:color="auto" w:sz="4" w:space="0"/>
              <w:left w:val="single" w:color="auto" w:sz="4" w:space="0"/>
              <w:bottom w:val="single" w:color="auto" w:sz="4" w:space="0"/>
              <w:right w:val="single" w:color="auto" w:sz="4" w:space="0"/>
            </w:tcBorders>
          </w:tcPr>
          <w:p w14:paraId="3A100D3D">
            <w:pPr>
              <w:pStyle w:val="56"/>
              <w:ind w:firstLine="0" w:firstLineChars="0"/>
              <w:jc w:val="center"/>
            </w:pPr>
            <w:r>
              <w:t>C</w:t>
            </w:r>
            <w:r>
              <w:rPr>
                <w:vertAlign w:val="subscript"/>
              </w:rPr>
              <w:t>2</w:t>
            </w:r>
            <w:r>
              <w:t>H</w:t>
            </w:r>
            <w:r>
              <w:rPr>
                <w:vertAlign w:val="subscript"/>
              </w:rPr>
              <w:t>4</w:t>
            </w:r>
            <w:r>
              <w:t>F</w:t>
            </w:r>
            <w:r>
              <w:rPr>
                <w:vertAlign w:val="subscript"/>
              </w:rPr>
              <w:t>2</w:t>
            </w:r>
          </w:p>
        </w:tc>
        <w:tc>
          <w:tcPr>
            <w:tcW w:w="3822" w:type="dxa"/>
            <w:tcBorders>
              <w:top w:val="single" w:color="auto" w:sz="4" w:space="0"/>
              <w:left w:val="single" w:color="auto" w:sz="4" w:space="0"/>
              <w:bottom w:val="single" w:color="auto" w:sz="4" w:space="0"/>
              <w:right w:val="single" w:color="auto" w:sz="8" w:space="0"/>
            </w:tcBorders>
          </w:tcPr>
          <w:p w14:paraId="14D8C085">
            <w:pPr>
              <w:pStyle w:val="56"/>
              <w:ind w:firstLine="0" w:firstLineChars="0"/>
              <w:jc w:val="center"/>
            </w:pPr>
            <w:r>
              <w:rPr>
                <w:rFonts w:hint="eastAsia"/>
              </w:rPr>
              <w:t>164</w:t>
            </w:r>
          </w:p>
        </w:tc>
      </w:tr>
      <w:tr w14:paraId="1D1F7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4" w:space="0"/>
              <w:left w:val="single" w:color="auto" w:sz="8" w:space="0"/>
              <w:bottom w:val="single" w:color="auto" w:sz="4" w:space="0"/>
              <w:right w:val="single" w:color="auto" w:sz="4" w:space="0"/>
            </w:tcBorders>
            <w:vAlign w:val="center"/>
          </w:tcPr>
          <w:p w14:paraId="7105C3FC">
            <w:pPr>
              <w:pStyle w:val="56"/>
              <w:ind w:firstLine="0" w:firstLineChars="0"/>
              <w:jc w:val="center"/>
            </w:pPr>
            <w:r>
              <w:t>HFC-</w:t>
            </w:r>
            <w:r>
              <w:rPr>
                <w:rFonts w:hint="eastAsia"/>
              </w:rPr>
              <w:t>227ea</w:t>
            </w:r>
          </w:p>
        </w:tc>
        <w:tc>
          <w:tcPr>
            <w:tcW w:w="2762" w:type="dxa"/>
            <w:tcBorders>
              <w:top w:val="single" w:color="auto" w:sz="4" w:space="0"/>
              <w:left w:val="single" w:color="auto" w:sz="4" w:space="0"/>
              <w:bottom w:val="single" w:color="auto" w:sz="4" w:space="0"/>
              <w:right w:val="single" w:color="auto" w:sz="4" w:space="0"/>
            </w:tcBorders>
          </w:tcPr>
          <w:p w14:paraId="053C985B">
            <w:pPr>
              <w:pStyle w:val="56"/>
              <w:ind w:firstLine="0" w:firstLineChars="0"/>
              <w:jc w:val="center"/>
            </w:pPr>
            <w:r>
              <w:t>C</w:t>
            </w:r>
            <w:r>
              <w:rPr>
                <w:vertAlign w:val="subscript"/>
              </w:rPr>
              <w:t>3</w:t>
            </w:r>
            <w:r>
              <w:t>HF</w:t>
            </w:r>
            <w:r>
              <w:rPr>
                <w:vertAlign w:val="subscript"/>
              </w:rPr>
              <w:t>7</w:t>
            </w:r>
          </w:p>
        </w:tc>
        <w:tc>
          <w:tcPr>
            <w:tcW w:w="3822" w:type="dxa"/>
            <w:tcBorders>
              <w:top w:val="single" w:color="auto" w:sz="4" w:space="0"/>
              <w:left w:val="single" w:color="auto" w:sz="4" w:space="0"/>
              <w:bottom w:val="single" w:color="auto" w:sz="4" w:space="0"/>
              <w:right w:val="single" w:color="auto" w:sz="8" w:space="0"/>
            </w:tcBorders>
          </w:tcPr>
          <w:p w14:paraId="00AD8DA4">
            <w:pPr>
              <w:pStyle w:val="56"/>
              <w:ind w:firstLine="0" w:firstLineChars="0"/>
              <w:jc w:val="center"/>
            </w:pPr>
            <w:r>
              <w:rPr>
                <w:rFonts w:hint="eastAsia"/>
              </w:rPr>
              <w:t>3 600</w:t>
            </w:r>
          </w:p>
        </w:tc>
      </w:tr>
      <w:tr w14:paraId="573F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62" w:type="dxa"/>
            <w:tcBorders>
              <w:top w:val="single" w:color="auto" w:sz="4" w:space="0"/>
              <w:left w:val="single" w:color="auto" w:sz="8" w:space="0"/>
              <w:bottom w:val="single" w:color="auto" w:sz="4" w:space="0"/>
              <w:right w:val="single" w:color="auto" w:sz="4" w:space="0"/>
            </w:tcBorders>
            <w:vAlign w:val="center"/>
          </w:tcPr>
          <w:p w14:paraId="5A3EA4C1">
            <w:pPr>
              <w:pStyle w:val="56"/>
              <w:ind w:firstLine="0" w:firstLineChars="0"/>
              <w:jc w:val="center"/>
            </w:pPr>
            <w:r>
              <w:t>HFC-</w:t>
            </w:r>
            <w:r>
              <w:rPr>
                <w:rFonts w:hint="eastAsia"/>
              </w:rPr>
              <w:t>236fa</w:t>
            </w:r>
          </w:p>
        </w:tc>
        <w:tc>
          <w:tcPr>
            <w:tcW w:w="2762" w:type="dxa"/>
            <w:tcBorders>
              <w:top w:val="single" w:color="auto" w:sz="4" w:space="0"/>
              <w:left w:val="single" w:color="auto" w:sz="4" w:space="0"/>
              <w:bottom w:val="single" w:color="auto" w:sz="4" w:space="0"/>
              <w:right w:val="single" w:color="auto" w:sz="4" w:space="0"/>
            </w:tcBorders>
          </w:tcPr>
          <w:p w14:paraId="30435558">
            <w:pPr>
              <w:pStyle w:val="56"/>
              <w:ind w:firstLine="0" w:firstLineChars="0"/>
              <w:jc w:val="center"/>
            </w:pPr>
            <w:r>
              <w:t>C</w:t>
            </w:r>
            <w:r>
              <w:rPr>
                <w:vertAlign w:val="subscript"/>
              </w:rPr>
              <w:t>3</w:t>
            </w:r>
            <w:r>
              <w:t>H</w:t>
            </w:r>
            <w:r>
              <w:rPr>
                <w:vertAlign w:val="subscript"/>
              </w:rPr>
              <w:t>2</w:t>
            </w:r>
            <w:r>
              <w:t>F</w:t>
            </w:r>
            <w:r>
              <w:rPr>
                <w:vertAlign w:val="subscript"/>
              </w:rPr>
              <w:t>6</w:t>
            </w:r>
          </w:p>
        </w:tc>
        <w:tc>
          <w:tcPr>
            <w:tcW w:w="3822" w:type="dxa"/>
            <w:tcBorders>
              <w:top w:val="single" w:color="auto" w:sz="4" w:space="0"/>
              <w:left w:val="single" w:color="auto" w:sz="4" w:space="0"/>
              <w:bottom w:val="single" w:color="auto" w:sz="4" w:space="0"/>
              <w:right w:val="single" w:color="auto" w:sz="8" w:space="0"/>
            </w:tcBorders>
          </w:tcPr>
          <w:p w14:paraId="222DEF3B">
            <w:pPr>
              <w:pStyle w:val="56"/>
              <w:ind w:firstLine="0" w:firstLineChars="0"/>
              <w:jc w:val="center"/>
            </w:pPr>
            <w:r>
              <w:rPr>
                <w:rFonts w:hint="eastAsia"/>
              </w:rPr>
              <w:t>8 690</w:t>
            </w:r>
          </w:p>
        </w:tc>
      </w:tr>
      <w:tr w14:paraId="5FB80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6" w:type="dxa"/>
            <w:gridSpan w:val="3"/>
            <w:tcBorders>
              <w:top w:val="single" w:color="auto" w:sz="4" w:space="0"/>
              <w:left w:val="single" w:color="auto" w:sz="8" w:space="0"/>
              <w:bottom w:val="single" w:color="auto" w:sz="4" w:space="0"/>
              <w:right w:val="single" w:color="auto" w:sz="8" w:space="0"/>
            </w:tcBorders>
            <w:vAlign w:val="center"/>
          </w:tcPr>
          <w:p w14:paraId="37E823F3">
            <w:pPr>
              <w:pStyle w:val="56"/>
              <w:ind w:firstLine="0" w:firstLineChars="0"/>
              <w:jc w:val="center"/>
            </w:pPr>
            <w:r>
              <w:t>全氟碳化物</w:t>
            </w:r>
            <w:r>
              <w:rPr>
                <w:rFonts w:hint="eastAsia"/>
              </w:rPr>
              <w:t>（</w:t>
            </w:r>
            <w:r>
              <w:t>PFCs</w:t>
            </w:r>
            <w:r>
              <w:rPr>
                <w:rFonts w:hint="eastAsia"/>
              </w:rPr>
              <w:t>）</w:t>
            </w:r>
          </w:p>
        </w:tc>
      </w:tr>
      <w:tr w14:paraId="2E472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4" w:space="0"/>
              <w:left w:val="single" w:color="auto" w:sz="8" w:space="0"/>
              <w:bottom w:val="single" w:color="auto" w:sz="4" w:space="0"/>
              <w:right w:val="single" w:color="auto" w:sz="4" w:space="0"/>
            </w:tcBorders>
            <w:vAlign w:val="center"/>
          </w:tcPr>
          <w:p w14:paraId="31BBED77">
            <w:pPr>
              <w:pStyle w:val="56"/>
              <w:ind w:firstLine="0" w:firstLineChars="0"/>
              <w:jc w:val="center"/>
            </w:pPr>
            <w:r>
              <w:t>全氟甲烷（四氟甲烷）</w:t>
            </w:r>
          </w:p>
        </w:tc>
        <w:tc>
          <w:tcPr>
            <w:tcW w:w="2762" w:type="dxa"/>
            <w:tcBorders>
              <w:top w:val="single" w:color="auto" w:sz="4" w:space="0"/>
              <w:left w:val="single" w:color="auto" w:sz="4" w:space="0"/>
              <w:bottom w:val="single" w:color="auto" w:sz="4" w:space="0"/>
              <w:right w:val="single" w:color="auto" w:sz="4" w:space="0"/>
            </w:tcBorders>
          </w:tcPr>
          <w:p w14:paraId="1191C620">
            <w:pPr>
              <w:pStyle w:val="56"/>
              <w:ind w:firstLine="0" w:firstLineChars="0"/>
              <w:jc w:val="center"/>
            </w:pPr>
            <w:r>
              <w:t>CF</w:t>
            </w:r>
            <w:r>
              <w:rPr>
                <w:vertAlign w:val="subscript"/>
              </w:rPr>
              <w:t>4</w:t>
            </w:r>
          </w:p>
        </w:tc>
        <w:tc>
          <w:tcPr>
            <w:tcW w:w="3822" w:type="dxa"/>
            <w:tcBorders>
              <w:top w:val="single" w:color="auto" w:sz="4" w:space="0"/>
              <w:left w:val="single" w:color="auto" w:sz="4" w:space="0"/>
              <w:bottom w:val="single" w:color="auto" w:sz="4" w:space="0"/>
              <w:right w:val="single" w:color="auto" w:sz="8" w:space="0"/>
            </w:tcBorders>
          </w:tcPr>
          <w:p w14:paraId="206A6F93">
            <w:pPr>
              <w:pStyle w:val="56"/>
              <w:ind w:firstLine="0" w:firstLineChars="0"/>
              <w:jc w:val="center"/>
            </w:pPr>
            <w:r>
              <w:rPr>
                <w:rFonts w:hint="eastAsia"/>
              </w:rPr>
              <w:t>7 380</w:t>
            </w:r>
          </w:p>
        </w:tc>
      </w:tr>
      <w:tr w14:paraId="1EDF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4" w:space="0"/>
              <w:left w:val="single" w:color="auto" w:sz="8" w:space="0"/>
              <w:bottom w:val="single" w:color="auto" w:sz="4" w:space="0"/>
              <w:right w:val="single" w:color="auto" w:sz="4" w:space="0"/>
            </w:tcBorders>
            <w:vAlign w:val="center"/>
          </w:tcPr>
          <w:p w14:paraId="7B6A0EAD">
            <w:pPr>
              <w:pStyle w:val="56"/>
              <w:ind w:firstLine="0" w:firstLineChars="0"/>
              <w:jc w:val="center"/>
            </w:pPr>
            <w:r>
              <w:t>全氟乙烷（六氟乙烷）</w:t>
            </w:r>
          </w:p>
        </w:tc>
        <w:tc>
          <w:tcPr>
            <w:tcW w:w="2762" w:type="dxa"/>
            <w:tcBorders>
              <w:top w:val="single" w:color="auto" w:sz="4" w:space="0"/>
              <w:left w:val="single" w:color="auto" w:sz="4" w:space="0"/>
              <w:bottom w:val="single" w:color="auto" w:sz="4" w:space="0"/>
              <w:right w:val="single" w:color="auto" w:sz="4" w:space="0"/>
            </w:tcBorders>
          </w:tcPr>
          <w:p w14:paraId="2EC203CD">
            <w:pPr>
              <w:pStyle w:val="56"/>
              <w:ind w:firstLine="0" w:firstLineChars="0"/>
              <w:jc w:val="center"/>
            </w:pPr>
            <w:r>
              <w:t>C</w:t>
            </w:r>
            <w:r>
              <w:rPr>
                <w:vertAlign w:val="subscript"/>
              </w:rPr>
              <w:t>2</w:t>
            </w:r>
            <w:r>
              <w:t>F</w:t>
            </w:r>
            <w:r>
              <w:rPr>
                <w:vertAlign w:val="subscript"/>
              </w:rPr>
              <w:t>6</w:t>
            </w:r>
          </w:p>
        </w:tc>
        <w:tc>
          <w:tcPr>
            <w:tcW w:w="3822" w:type="dxa"/>
            <w:tcBorders>
              <w:top w:val="single" w:color="auto" w:sz="4" w:space="0"/>
              <w:left w:val="single" w:color="auto" w:sz="4" w:space="0"/>
              <w:bottom w:val="single" w:color="auto" w:sz="4" w:space="0"/>
              <w:right w:val="single" w:color="auto" w:sz="8" w:space="0"/>
            </w:tcBorders>
          </w:tcPr>
          <w:p w14:paraId="64189A2D">
            <w:pPr>
              <w:pStyle w:val="56"/>
              <w:ind w:firstLine="0" w:firstLineChars="0"/>
              <w:jc w:val="center"/>
            </w:pPr>
            <w:r>
              <w:rPr>
                <w:rFonts w:hint="eastAsia"/>
              </w:rPr>
              <w:t>12 400</w:t>
            </w:r>
          </w:p>
        </w:tc>
      </w:tr>
      <w:tr w14:paraId="6836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4" w:space="0"/>
              <w:left w:val="single" w:color="auto" w:sz="8" w:space="0"/>
              <w:bottom w:val="single" w:color="auto" w:sz="4" w:space="0"/>
              <w:right w:val="single" w:color="auto" w:sz="4" w:space="0"/>
            </w:tcBorders>
            <w:vAlign w:val="center"/>
          </w:tcPr>
          <w:p w14:paraId="0151FEC7">
            <w:pPr>
              <w:pStyle w:val="56"/>
              <w:ind w:firstLine="0" w:firstLineChars="0"/>
              <w:jc w:val="center"/>
            </w:pPr>
            <w:r>
              <w:t>全氟丙烷</w:t>
            </w:r>
          </w:p>
        </w:tc>
        <w:tc>
          <w:tcPr>
            <w:tcW w:w="2762" w:type="dxa"/>
            <w:tcBorders>
              <w:top w:val="single" w:color="auto" w:sz="4" w:space="0"/>
              <w:left w:val="single" w:color="auto" w:sz="4" w:space="0"/>
              <w:bottom w:val="single" w:color="auto" w:sz="4" w:space="0"/>
              <w:right w:val="single" w:color="auto" w:sz="4" w:space="0"/>
            </w:tcBorders>
          </w:tcPr>
          <w:p w14:paraId="41A7C134">
            <w:pPr>
              <w:pStyle w:val="56"/>
              <w:ind w:firstLine="0" w:firstLineChars="0"/>
              <w:jc w:val="center"/>
            </w:pPr>
            <w:r>
              <w:t>C</w:t>
            </w:r>
            <w:r>
              <w:rPr>
                <w:vertAlign w:val="subscript"/>
              </w:rPr>
              <w:t>3</w:t>
            </w:r>
            <w:r>
              <w:t>F</w:t>
            </w:r>
            <w:r>
              <w:rPr>
                <w:vertAlign w:val="subscript"/>
              </w:rPr>
              <w:t>8</w:t>
            </w:r>
          </w:p>
        </w:tc>
        <w:tc>
          <w:tcPr>
            <w:tcW w:w="3822" w:type="dxa"/>
            <w:tcBorders>
              <w:top w:val="single" w:color="auto" w:sz="4" w:space="0"/>
              <w:left w:val="single" w:color="auto" w:sz="4" w:space="0"/>
              <w:bottom w:val="single" w:color="auto" w:sz="4" w:space="0"/>
              <w:right w:val="single" w:color="auto" w:sz="8" w:space="0"/>
            </w:tcBorders>
          </w:tcPr>
          <w:p w14:paraId="5BABC879">
            <w:pPr>
              <w:pStyle w:val="56"/>
              <w:ind w:firstLine="0" w:firstLineChars="0"/>
              <w:jc w:val="center"/>
            </w:pPr>
            <w:r>
              <w:rPr>
                <w:rFonts w:hint="eastAsia"/>
              </w:rPr>
              <w:t>9 290</w:t>
            </w:r>
          </w:p>
        </w:tc>
      </w:tr>
      <w:tr w14:paraId="6FD1E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4" w:space="0"/>
              <w:left w:val="single" w:color="auto" w:sz="8" w:space="0"/>
              <w:bottom w:val="single" w:color="auto" w:sz="4" w:space="0"/>
              <w:right w:val="single" w:color="auto" w:sz="4" w:space="0"/>
            </w:tcBorders>
            <w:vAlign w:val="center"/>
          </w:tcPr>
          <w:p w14:paraId="15B4BE13">
            <w:pPr>
              <w:pStyle w:val="56"/>
              <w:ind w:firstLine="0" w:firstLineChars="0"/>
              <w:jc w:val="center"/>
            </w:pPr>
            <w:r>
              <w:t>全氟丁烷</w:t>
            </w:r>
          </w:p>
        </w:tc>
        <w:tc>
          <w:tcPr>
            <w:tcW w:w="2762" w:type="dxa"/>
            <w:tcBorders>
              <w:top w:val="single" w:color="auto" w:sz="4" w:space="0"/>
              <w:left w:val="single" w:color="auto" w:sz="4" w:space="0"/>
              <w:bottom w:val="single" w:color="auto" w:sz="4" w:space="0"/>
              <w:right w:val="single" w:color="auto" w:sz="4" w:space="0"/>
            </w:tcBorders>
          </w:tcPr>
          <w:p w14:paraId="51EC97C6">
            <w:pPr>
              <w:pStyle w:val="56"/>
              <w:ind w:firstLine="0" w:firstLineChars="0"/>
              <w:jc w:val="center"/>
            </w:pPr>
            <w:r>
              <w:t>C</w:t>
            </w:r>
            <w:r>
              <w:rPr>
                <w:vertAlign w:val="subscript"/>
              </w:rPr>
              <w:t>4</w:t>
            </w:r>
            <w:r>
              <w:t>F</w:t>
            </w:r>
            <w:r>
              <w:rPr>
                <w:vertAlign w:val="subscript"/>
              </w:rPr>
              <w:t>10</w:t>
            </w:r>
          </w:p>
        </w:tc>
        <w:tc>
          <w:tcPr>
            <w:tcW w:w="3822" w:type="dxa"/>
            <w:tcBorders>
              <w:top w:val="single" w:color="auto" w:sz="4" w:space="0"/>
              <w:left w:val="single" w:color="auto" w:sz="4" w:space="0"/>
              <w:bottom w:val="single" w:color="auto" w:sz="4" w:space="0"/>
              <w:right w:val="single" w:color="auto" w:sz="8" w:space="0"/>
            </w:tcBorders>
          </w:tcPr>
          <w:p w14:paraId="7C875B98">
            <w:pPr>
              <w:pStyle w:val="56"/>
              <w:ind w:firstLine="0" w:firstLineChars="0"/>
              <w:jc w:val="center"/>
            </w:pPr>
            <w:r>
              <w:rPr>
                <w:rFonts w:hint="eastAsia"/>
              </w:rPr>
              <w:t>10 000</w:t>
            </w:r>
          </w:p>
        </w:tc>
      </w:tr>
      <w:tr w14:paraId="4AA9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4" w:space="0"/>
              <w:left w:val="single" w:color="auto" w:sz="8" w:space="0"/>
              <w:bottom w:val="single" w:color="auto" w:sz="4" w:space="0"/>
              <w:right w:val="single" w:color="auto" w:sz="4" w:space="0"/>
            </w:tcBorders>
            <w:vAlign w:val="center"/>
          </w:tcPr>
          <w:p w14:paraId="61916E2B">
            <w:pPr>
              <w:pStyle w:val="56"/>
              <w:ind w:firstLine="0" w:firstLineChars="0"/>
              <w:jc w:val="center"/>
            </w:pPr>
            <w:r>
              <w:t>全氟环丁烷</w:t>
            </w:r>
          </w:p>
        </w:tc>
        <w:tc>
          <w:tcPr>
            <w:tcW w:w="2762" w:type="dxa"/>
            <w:tcBorders>
              <w:top w:val="single" w:color="auto" w:sz="4" w:space="0"/>
              <w:left w:val="single" w:color="auto" w:sz="4" w:space="0"/>
              <w:bottom w:val="single" w:color="auto" w:sz="4" w:space="0"/>
              <w:right w:val="single" w:color="auto" w:sz="4" w:space="0"/>
            </w:tcBorders>
          </w:tcPr>
          <w:p w14:paraId="233C4968">
            <w:pPr>
              <w:pStyle w:val="56"/>
              <w:ind w:firstLine="0" w:firstLineChars="0"/>
              <w:jc w:val="center"/>
            </w:pPr>
            <w:r>
              <w:t>C</w:t>
            </w:r>
            <w:r>
              <w:rPr>
                <w:vertAlign w:val="subscript"/>
              </w:rPr>
              <w:t>4</w:t>
            </w:r>
            <w:r>
              <w:t>F</w:t>
            </w:r>
            <w:r>
              <w:rPr>
                <w:vertAlign w:val="subscript"/>
              </w:rPr>
              <w:t>8</w:t>
            </w:r>
          </w:p>
        </w:tc>
        <w:tc>
          <w:tcPr>
            <w:tcW w:w="3822" w:type="dxa"/>
            <w:tcBorders>
              <w:top w:val="single" w:color="auto" w:sz="4" w:space="0"/>
              <w:left w:val="single" w:color="auto" w:sz="4" w:space="0"/>
              <w:bottom w:val="single" w:color="auto" w:sz="4" w:space="0"/>
              <w:right w:val="single" w:color="auto" w:sz="8" w:space="0"/>
            </w:tcBorders>
          </w:tcPr>
          <w:p w14:paraId="5AD8CFD4">
            <w:pPr>
              <w:pStyle w:val="56"/>
              <w:ind w:firstLine="0" w:firstLineChars="0"/>
              <w:jc w:val="center"/>
            </w:pPr>
            <w:r>
              <w:rPr>
                <w:rFonts w:hint="eastAsia"/>
              </w:rPr>
              <w:t>10 200</w:t>
            </w:r>
          </w:p>
        </w:tc>
      </w:tr>
      <w:tr w14:paraId="12CDB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4" w:space="0"/>
              <w:left w:val="single" w:color="auto" w:sz="8" w:space="0"/>
              <w:bottom w:val="single" w:color="auto" w:sz="4" w:space="0"/>
              <w:right w:val="single" w:color="auto" w:sz="4" w:space="0"/>
            </w:tcBorders>
            <w:vAlign w:val="center"/>
          </w:tcPr>
          <w:p w14:paraId="7359E865">
            <w:pPr>
              <w:pStyle w:val="56"/>
              <w:ind w:firstLine="0" w:firstLineChars="0"/>
              <w:jc w:val="center"/>
            </w:pPr>
            <w:r>
              <w:t>全氟戊烷</w:t>
            </w:r>
          </w:p>
        </w:tc>
        <w:tc>
          <w:tcPr>
            <w:tcW w:w="2762" w:type="dxa"/>
            <w:tcBorders>
              <w:top w:val="single" w:color="auto" w:sz="4" w:space="0"/>
              <w:left w:val="single" w:color="auto" w:sz="4" w:space="0"/>
              <w:bottom w:val="single" w:color="auto" w:sz="4" w:space="0"/>
              <w:right w:val="single" w:color="auto" w:sz="4" w:space="0"/>
            </w:tcBorders>
          </w:tcPr>
          <w:p w14:paraId="5B356725">
            <w:pPr>
              <w:pStyle w:val="56"/>
              <w:ind w:firstLine="0" w:firstLineChars="0"/>
              <w:jc w:val="center"/>
            </w:pPr>
            <w:r>
              <w:t>C</w:t>
            </w:r>
            <w:r>
              <w:rPr>
                <w:vertAlign w:val="subscript"/>
              </w:rPr>
              <w:t>5</w:t>
            </w:r>
            <w:r>
              <w:t>F</w:t>
            </w:r>
            <w:r>
              <w:rPr>
                <w:vertAlign w:val="subscript"/>
              </w:rPr>
              <w:t>12</w:t>
            </w:r>
          </w:p>
        </w:tc>
        <w:tc>
          <w:tcPr>
            <w:tcW w:w="3822" w:type="dxa"/>
            <w:tcBorders>
              <w:top w:val="single" w:color="auto" w:sz="4" w:space="0"/>
              <w:left w:val="single" w:color="auto" w:sz="4" w:space="0"/>
              <w:bottom w:val="single" w:color="auto" w:sz="4" w:space="0"/>
              <w:right w:val="single" w:color="auto" w:sz="8" w:space="0"/>
            </w:tcBorders>
          </w:tcPr>
          <w:p w14:paraId="2AC2EB68">
            <w:pPr>
              <w:pStyle w:val="56"/>
              <w:ind w:firstLine="0" w:firstLineChars="0"/>
              <w:jc w:val="center"/>
            </w:pPr>
            <w:r>
              <w:rPr>
                <w:rFonts w:hint="eastAsia"/>
              </w:rPr>
              <w:t>9 220</w:t>
            </w:r>
          </w:p>
        </w:tc>
      </w:tr>
      <w:tr w14:paraId="3E3C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4" w:space="0"/>
              <w:left w:val="single" w:color="auto" w:sz="8" w:space="0"/>
              <w:bottom w:val="single" w:color="auto" w:sz="8" w:space="0"/>
              <w:right w:val="single" w:color="auto" w:sz="4" w:space="0"/>
            </w:tcBorders>
            <w:vAlign w:val="center"/>
          </w:tcPr>
          <w:p w14:paraId="79D8F9D2">
            <w:pPr>
              <w:pStyle w:val="56"/>
              <w:ind w:firstLine="0" w:firstLineChars="0"/>
              <w:jc w:val="center"/>
            </w:pPr>
            <w:r>
              <w:t>全氟己烷</w:t>
            </w:r>
          </w:p>
        </w:tc>
        <w:tc>
          <w:tcPr>
            <w:tcW w:w="2762" w:type="dxa"/>
            <w:tcBorders>
              <w:top w:val="single" w:color="auto" w:sz="4" w:space="0"/>
              <w:left w:val="single" w:color="auto" w:sz="4" w:space="0"/>
              <w:bottom w:val="single" w:color="auto" w:sz="8" w:space="0"/>
              <w:right w:val="single" w:color="auto" w:sz="4" w:space="0"/>
            </w:tcBorders>
          </w:tcPr>
          <w:p w14:paraId="13F4F669">
            <w:pPr>
              <w:pStyle w:val="56"/>
              <w:ind w:firstLine="0" w:firstLineChars="0"/>
              <w:jc w:val="center"/>
            </w:pPr>
            <w:r>
              <w:t>C</w:t>
            </w:r>
            <w:r>
              <w:rPr>
                <w:vertAlign w:val="subscript"/>
              </w:rPr>
              <w:t>6</w:t>
            </w:r>
            <w:r>
              <w:t>F</w:t>
            </w:r>
            <w:r>
              <w:rPr>
                <w:vertAlign w:val="subscript"/>
              </w:rPr>
              <w:t>14</w:t>
            </w:r>
          </w:p>
        </w:tc>
        <w:tc>
          <w:tcPr>
            <w:tcW w:w="3822" w:type="dxa"/>
            <w:tcBorders>
              <w:top w:val="single" w:color="auto" w:sz="4" w:space="0"/>
              <w:left w:val="single" w:color="auto" w:sz="4" w:space="0"/>
              <w:bottom w:val="single" w:color="auto" w:sz="8" w:space="0"/>
              <w:right w:val="single" w:color="auto" w:sz="8" w:space="0"/>
            </w:tcBorders>
          </w:tcPr>
          <w:p w14:paraId="379DDD35">
            <w:pPr>
              <w:pStyle w:val="56"/>
              <w:ind w:firstLine="0" w:firstLineChars="0"/>
              <w:jc w:val="center"/>
            </w:pPr>
            <w:r>
              <w:rPr>
                <w:rFonts w:hint="eastAsia"/>
              </w:rPr>
              <w:t>8 620</w:t>
            </w:r>
          </w:p>
        </w:tc>
      </w:tr>
    </w:tbl>
    <w:p w14:paraId="0B0F234B">
      <w:pPr>
        <w:pStyle w:val="56"/>
        <w:ind w:firstLine="420"/>
      </w:pPr>
    </w:p>
    <w:p w14:paraId="2EF0F3DD">
      <w:pPr>
        <w:pStyle w:val="56"/>
        <w:ind w:firstLine="420"/>
      </w:pPr>
    </w:p>
    <w:p w14:paraId="56BE7436">
      <w:pPr>
        <w:pStyle w:val="56"/>
        <w:ind w:firstLine="420"/>
      </w:pPr>
    </w:p>
    <w:p w14:paraId="1F4370D2">
      <w:pPr>
        <w:pStyle w:val="56"/>
        <w:ind w:firstLine="420"/>
      </w:pPr>
    </w:p>
    <w:p w14:paraId="6E1CE99E">
      <w:pPr>
        <w:widowControl/>
        <w:adjustRightInd/>
        <w:spacing w:line="240" w:lineRule="auto"/>
        <w:jc w:val="left"/>
        <w:rPr>
          <w:rFonts w:ascii="Times New Roman" w:hAnsi="Times New Roman"/>
          <w:kern w:val="0"/>
          <w:szCs w:val="20"/>
        </w:rPr>
      </w:pPr>
      <w:r>
        <w:br w:type="page"/>
      </w:r>
    </w:p>
    <w:p w14:paraId="357F94CE">
      <w:pPr>
        <w:pStyle w:val="198"/>
        <w:rPr>
          <w:rFonts w:hint="eastAsia"/>
        </w:rPr>
      </w:pPr>
      <w:r>
        <w:br w:type="page"/>
      </w:r>
    </w:p>
    <w:p w14:paraId="48DDDE0E">
      <w:pPr>
        <w:widowControl/>
        <w:adjustRightInd/>
        <w:spacing w:line="240" w:lineRule="auto"/>
        <w:jc w:val="left"/>
        <w:rPr>
          <w:rFonts w:ascii="Times New Roman" w:hAnsi="Times New Roman"/>
          <w:kern w:val="0"/>
          <w:szCs w:val="20"/>
        </w:rPr>
      </w:pPr>
    </w:p>
    <w:p w14:paraId="1F734B45">
      <w:pPr>
        <w:pStyle w:val="199"/>
        <w:rPr>
          <w:vanish w:val="0"/>
        </w:rPr>
      </w:pPr>
    </w:p>
    <w:p w14:paraId="51CDC8A1">
      <w:pPr>
        <w:pStyle w:val="76"/>
        <w:spacing w:after="120"/>
      </w:pPr>
      <w:r>
        <w:br w:type="textWrapping"/>
      </w:r>
      <w:bookmarkStart w:id="98" w:name="_Toc231215123"/>
      <w:r>
        <w:rPr>
          <w:rFonts w:hint="eastAsia"/>
        </w:rPr>
        <w:t>（资料性）</w:t>
      </w:r>
      <w:r>
        <w:br w:type="textWrapping"/>
      </w:r>
      <w:r>
        <w:rPr>
          <w:rFonts w:hint="eastAsia"/>
        </w:rPr>
        <w:t>碳足迹因子推荐值</w:t>
      </w:r>
      <w:bookmarkEnd w:id="98"/>
    </w:p>
    <w:p w14:paraId="77F9D7A0">
      <w:pPr>
        <w:pStyle w:val="78"/>
        <w:spacing w:before="120" w:after="120"/>
      </w:pPr>
      <w:bookmarkStart w:id="99" w:name="_Toc231215124"/>
      <w:r>
        <w:rPr>
          <w:rFonts w:hint="eastAsia"/>
        </w:rPr>
        <w:t>常见化石燃料二氧化碳排放因子</w:t>
      </w:r>
      <w:bookmarkEnd w:id="99"/>
    </w:p>
    <w:p w14:paraId="36952E04">
      <w:pPr>
        <w:pStyle w:val="77"/>
        <w:spacing w:before="120" w:after="120"/>
      </w:pPr>
      <w:r>
        <w:rPr>
          <w:rFonts w:hint="eastAsia"/>
        </w:rPr>
        <w:t>常见化石燃料燃烧排放因子</w:t>
      </w:r>
    </w:p>
    <w:tbl>
      <w:tblPr>
        <w:tblStyle w:val="27"/>
        <w:tblW w:w="93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3"/>
        <w:gridCol w:w="1417"/>
        <w:gridCol w:w="1418"/>
        <w:gridCol w:w="1275"/>
        <w:gridCol w:w="1418"/>
        <w:gridCol w:w="1276"/>
        <w:gridCol w:w="1559"/>
      </w:tblGrid>
      <w:tr w14:paraId="6FC5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gridSpan w:val="2"/>
            <w:vMerge w:val="restart"/>
            <w:tcBorders>
              <w:top w:val="single" w:color="auto" w:sz="8" w:space="0"/>
              <w:left w:val="single" w:color="auto" w:sz="8" w:space="0"/>
              <w:bottom w:val="single" w:color="auto" w:sz="4" w:space="0"/>
              <w:right w:val="single" w:color="auto" w:sz="4" w:space="0"/>
            </w:tcBorders>
            <w:vAlign w:val="center"/>
          </w:tcPr>
          <w:p w14:paraId="6EA9C8E1">
            <w:pPr>
              <w:pStyle w:val="56"/>
              <w:ind w:firstLine="420"/>
              <w:jc w:val="center"/>
            </w:pPr>
            <w:r>
              <w:rPr>
                <w:rFonts w:hint="eastAsia"/>
              </w:rPr>
              <w:t>燃料品种</w:t>
            </w:r>
          </w:p>
        </w:tc>
        <w:tc>
          <w:tcPr>
            <w:tcW w:w="1418" w:type="dxa"/>
            <w:vMerge w:val="restart"/>
            <w:tcBorders>
              <w:top w:val="single" w:color="auto" w:sz="8" w:space="0"/>
              <w:left w:val="single" w:color="auto" w:sz="4" w:space="0"/>
              <w:bottom w:val="single" w:color="auto" w:sz="4" w:space="0"/>
              <w:right w:val="single" w:color="auto" w:sz="4" w:space="0"/>
            </w:tcBorders>
            <w:vAlign w:val="center"/>
          </w:tcPr>
          <w:p w14:paraId="028C4EB6">
            <w:pPr>
              <w:pStyle w:val="56"/>
              <w:ind w:firstLine="0" w:firstLineChars="0"/>
              <w:jc w:val="center"/>
            </w:pPr>
            <w:r>
              <w:rPr>
                <w:rFonts w:hint="eastAsia"/>
              </w:rPr>
              <w:t>计量单位</w:t>
            </w:r>
          </w:p>
        </w:tc>
        <w:tc>
          <w:tcPr>
            <w:tcW w:w="1275" w:type="dxa"/>
            <w:tcBorders>
              <w:top w:val="single" w:color="auto" w:sz="8" w:space="0"/>
              <w:left w:val="single" w:color="auto" w:sz="4" w:space="0"/>
              <w:bottom w:val="single" w:color="auto" w:sz="4" w:space="0"/>
              <w:right w:val="single" w:color="auto" w:sz="4" w:space="0"/>
            </w:tcBorders>
            <w:vAlign w:val="center"/>
          </w:tcPr>
          <w:p w14:paraId="5BB4500B">
            <w:pPr>
              <w:pStyle w:val="56"/>
              <w:ind w:firstLine="0" w:firstLineChars="0"/>
              <w:jc w:val="center"/>
            </w:pPr>
            <w:r>
              <w:rPr>
                <w:rFonts w:hint="eastAsia"/>
              </w:rPr>
              <w:t>低位发热量</w:t>
            </w:r>
          </w:p>
        </w:tc>
        <w:tc>
          <w:tcPr>
            <w:tcW w:w="1418" w:type="dxa"/>
            <w:tcBorders>
              <w:top w:val="single" w:color="auto" w:sz="8" w:space="0"/>
              <w:left w:val="single" w:color="auto" w:sz="4" w:space="0"/>
              <w:bottom w:val="single" w:color="auto" w:sz="4" w:space="0"/>
              <w:right w:val="single" w:color="auto" w:sz="4" w:space="0"/>
            </w:tcBorders>
            <w:vAlign w:val="center"/>
          </w:tcPr>
          <w:p w14:paraId="2F6F8B1E">
            <w:pPr>
              <w:pStyle w:val="56"/>
              <w:ind w:firstLine="0" w:firstLineChars="0"/>
              <w:jc w:val="center"/>
            </w:pPr>
            <w:r>
              <w:rPr>
                <w:rFonts w:hint="eastAsia"/>
              </w:rPr>
              <w:t>单位热值含碳量</w:t>
            </w:r>
          </w:p>
        </w:tc>
        <w:tc>
          <w:tcPr>
            <w:tcW w:w="1276" w:type="dxa"/>
            <w:tcBorders>
              <w:top w:val="single" w:color="auto" w:sz="8" w:space="0"/>
              <w:left w:val="single" w:color="auto" w:sz="4" w:space="0"/>
              <w:bottom w:val="single" w:color="auto" w:sz="4" w:space="0"/>
              <w:right w:val="single" w:color="auto" w:sz="4" w:space="0"/>
            </w:tcBorders>
            <w:vAlign w:val="center"/>
          </w:tcPr>
          <w:p w14:paraId="6538D590">
            <w:pPr>
              <w:pStyle w:val="56"/>
              <w:ind w:firstLine="0" w:firstLineChars="0"/>
              <w:jc w:val="center"/>
            </w:pPr>
            <w:r>
              <w:rPr>
                <w:rFonts w:hint="eastAsia"/>
              </w:rPr>
              <w:t>燃料碳氧化率</w:t>
            </w:r>
          </w:p>
        </w:tc>
        <w:tc>
          <w:tcPr>
            <w:tcW w:w="1559" w:type="dxa"/>
            <w:tcBorders>
              <w:top w:val="single" w:color="auto" w:sz="8" w:space="0"/>
              <w:left w:val="single" w:color="auto" w:sz="4" w:space="0"/>
              <w:bottom w:val="single" w:color="auto" w:sz="4" w:space="0"/>
              <w:right w:val="single" w:color="auto" w:sz="8" w:space="0"/>
            </w:tcBorders>
            <w:vAlign w:val="center"/>
          </w:tcPr>
          <w:p w14:paraId="5065E315">
            <w:pPr>
              <w:pStyle w:val="56"/>
              <w:ind w:firstLine="0" w:firstLineChars="0"/>
              <w:jc w:val="center"/>
            </w:pPr>
            <w:r>
              <w:rPr>
                <w:rFonts w:hint="eastAsia"/>
              </w:rPr>
              <w:t>二氧化碳排放因子</w:t>
            </w:r>
          </w:p>
        </w:tc>
      </w:tr>
      <w:tr w14:paraId="41F55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gridSpan w:val="2"/>
            <w:vMerge w:val="continue"/>
            <w:tcBorders>
              <w:top w:val="single" w:color="auto" w:sz="8" w:space="0"/>
              <w:left w:val="single" w:color="auto" w:sz="8" w:space="0"/>
              <w:bottom w:val="single" w:color="auto" w:sz="4" w:space="0"/>
              <w:right w:val="single" w:color="auto" w:sz="4" w:space="0"/>
            </w:tcBorders>
            <w:vAlign w:val="center"/>
          </w:tcPr>
          <w:p w14:paraId="05F7046A">
            <w:pPr>
              <w:pStyle w:val="56"/>
              <w:ind w:firstLine="420"/>
              <w:jc w:val="center"/>
            </w:pPr>
          </w:p>
        </w:tc>
        <w:tc>
          <w:tcPr>
            <w:tcW w:w="1418" w:type="dxa"/>
            <w:vMerge w:val="continue"/>
            <w:tcBorders>
              <w:top w:val="single" w:color="auto" w:sz="8" w:space="0"/>
              <w:left w:val="single" w:color="auto" w:sz="4" w:space="0"/>
              <w:bottom w:val="single" w:color="auto" w:sz="4" w:space="0"/>
              <w:right w:val="single" w:color="auto" w:sz="4" w:space="0"/>
            </w:tcBorders>
            <w:vAlign w:val="center"/>
          </w:tcPr>
          <w:p w14:paraId="7071155F">
            <w:pPr>
              <w:pStyle w:val="56"/>
              <w:ind w:firstLine="420"/>
              <w:jc w:val="center"/>
            </w:pPr>
          </w:p>
        </w:tc>
        <w:tc>
          <w:tcPr>
            <w:tcW w:w="1275" w:type="dxa"/>
            <w:tcBorders>
              <w:top w:val="single" w:color="auto" w:sz="4" w:space="0"/>
              <w:left w:val="single" w:color="auto" w:sz="4" w:space="0"/>
              <w:bottom w:val="single" w:color="auto" w:sz="4" w:space="0"/>
              <w:right w:val="single" w:color="auto" w:sz="4" w:space="0"/>
            </w:tcBorders>
            <w:vAlign w:val="center"/>
          </w:tcPr>
          <w:p w14:paraId="3D4DC690">
            <w:pPr>
              <w:pStyle w:val="56"/>
              <w:ind w:firstLine="0" w:firstLineChars="0"/>
              <w:jc w:val="center"/>
            </w:pPr>
            <w:r>
              <w:t>GJ/t或GJ/10</w:t>
            </w:r>
            <w:r>
              <w:rPr>
                <w:vertAlign w:val="superscript"/>
              </w:rPr>
              <w:t>4</w:t>
            </w:r>
            <w:r>
              <w:t>Nm</w:t>
            </w:r>
            <w:r>
              <w:rPr>
                <w:vertAlign w:val="superscript"/>
              </w:rPr>
              <w:t>3</w:t>
            </w:r>
          </w:p>
        </w:tc>
        <w:tc>
          <w:tcPr>
            <w:tcW w:w="1418" w:type="dxa"/>
            <w:tcBorders>
              <w:top w:val="single" w:color="auto" w:sz="4" w:space="0"/>
              <w:left w:val="single" w:color="auto" w:sz="4" w:space="0"/>
              <w:bottom w:val="single" w:color="auto" w:sz="4" w:space="0"/>
              <w:right w:val="single" w:color="auto" w:sz="4" w:space="0"/>
            </w:tcBorders>
            <w:vAlign w:val="center"/>
          </w:tcPr>
          <w:p w14:paraId="6BC74F43">
            <w:pPr>
              <w:pStyle w:val="56"/>
              <w:ind w:firstLine="0" w:firstLineChars="0"/>
              <w:jc w:val="center"/>
            </w:pPr>
            <w:r>
              <w:t>10</w:t>
            </w:r>
            <w:r>
              <w:rPr>
                <w:vertAlign w:val="superscript"/>
              </w:rPr>
              <w:t>-3</w:t>
            </w:r>
            <w:r>
              <w:t>tC/GJ</w:t>
            </w:r>
          </w:p>
        </w:tc>
        <w:tc>
          <w:tcPr>
            <w:tcW w:w="1276" w:type="dxa"/>
            <w:tcBorders>
              <w:top w:val="single" w:color="auto" w:sz="4" w:space="0"/>
              <w:left w:val="single" w:color="auto" w:sz="4" w:space="0"/>
              <w:bottom w:val="single" w:color="auto" w:sz="4" w:space="0"/>
              <w:right w:val="single" w:color="auto" w:sz="4" w:space="0"/>
            </w:tcBorders>
            <w:vAlign w:val="center"/>
          </w:tcPr>
          <w:p w14:paraId="5838AC15">
            <w:pPr>
              <w:pStyle w:val="56"/>
              <w:ind w:firstLine="0" w:firstLineChars="0"/>
              <w:jc w:val="center"/>
            </w:pPr>
            <w:r>
              <w:t>%</w:t>
            </w:r>
          </w:p>
        </w:tc>
        <w:tc>
          <w:tcPr>
            <w:tcW w:w="1559" w:type="dxa"/>
            <w:tcBorders>
              <w:top w:val="single" w:color="auto" w:sz="4" w:space="0"/>
              <w:left w:val="single" w:color="auto" w:sz="4" w:space="0"/>
              <w:bottom w:val="single" w:color="auto" w:sz="4" w:space="0"/>
              <w:right w:val="single" w:color="auto" w:sz="8" w:space="0"/>
            </w:tcBorders>
            <w:vAlign w:val="center"/>
          </w:tcPr>
          <w:p w14:paraId="112E8D74">
            <w:pPr>
              <w:pStyle w:val="56"/>
              <w:ind w:firstLine="0" w:firstLineChars="0"/>
              <w:jc w:val="center"/>
            </w:pPr>
            <w:r>
              <w:t>tCO</w:t>
            </w:r>
            <w:r>
              <w:rPr>
                <w:vertAlign w:val="subscript"/>
              </w:rPr>
              <w:t>2</w:t>
            </w:r>
            <w:r>
              <w:t xml:space="preserve"> /t或 tCO</w:t>
            </w:r>
            <w:r>
              <w:rPr>
                <w:vertAlign w:val="subscript"/>
              </w:rPr>
              <w:t xml:space="preserve">2 </w:t>
            </w:r>
            <w:r>
              <w:t>/10</w:t>
            </w:r>
            <w:r>
              <w:rPr>
                <w:vertAlign w:val="superscript"/>
              </w:rPr>
              <w:t>4</w:t>
            </w:r>
            <w:r>
              <w:t>Nm</w:t>
            </w:r>
            <w:r>
              <w:rPr>
                <w:vertAlign w:val="superscript"/>
              </w:rPr>
              <w:t>3</w:t>
            </w:r>
          </w:p>
        </w:tc>
      </w:tr>
      <w:tr w14:paraId="7344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Merge w:val="restart"/>
            <w:tcBorders>
              <w:top w:val="single" w:color="auto" w:sz="4" w:space="0"/>
              <w:left w:val="single" w:color="auto" w:sz="8" w:space="0"/>
              <w:bottom w:val="single" w:color="auto" w:sz="4" w:space="0"/>
              <w:right w:val="single" w:color="auto" w:sz="4" w:space="0"/>
            </w:tcBorders>
            <w:vAlign w:val="center"/>
          </w:tcPr>
          <w:p w14:paraId="7D065BD9">
            <w:pPr>
              <w:pStyle w:val="56"/>
              <w:ind w:firstLine="0" w:firstLineChars="0"/>
              <w:jc w:val="center"/>
            </w:pPr>
            <w:r>
              <w:rPr>
                <w:rFonts w:hint="eastAsia"/>
              </w:rPr>
              <w:t>液体燃料</w:t>
            </w:r>
          </w:p>
        </w:tc>
        <w:tc>
          <w:tcPr>
            <w:tcW w:w="1417" w:type="dxa"/>
            <w:tcBorders>
              <w:top w:val="single" w:color="auto" w:sz="4" w:space="0"/>
              <w:left w:val="single" w:color="auto" w:sz="4" w:space="0"/>
              <w:bottom w:val="single" w:color="auto" w:sz="4" w:space="0"/>
              <w:right w:val="single" w:color="auto" w:sz="4" w:space="0"/>
            </w:tcBorders>
            <w:vAlign w:val="center"/>
          </w:tcPr>
          <w:p w14:paraId="77FE959B">
            <w:pPr>
              <w:pStyle w:val="56"/>
              <w:ind w:firstLine="0" w:firstLineChars="0"/>
              <w:jc w:val="center"/>
            </w:pPr>
            <w:r>
              <w:rPr>
                <w:rFonts w:hint="eastAsia"/>
              </w:rPr>
              <w:t>原油</w:t>
            </w:r>
          </w:p>
        </w:tc>
        <w:tc>
          <w:tcPr>
            <w:tcW w:w="1418" w:type="dxa"/>
            <w:tcBorders>
              <w:top w:val="single" w:color="auto" w:sz="4" w:space="0"/>
              <w:left w:val="single" w:color="auto" w:sz="4" w:space="0"/>
              <w:bottom w:val="single" w:color="auto" w:sz="4" w:space="0"/>
              <w:right w:val="single" w:color="auto" w:sz="4" w:space="0"/>
            </w:tcBorders>
            <w:vAlign w:val="center"/>
          </w:tcPr>
          <w:p w14:paraId="7CBE4C39">
            <w:pPr>
              <w:pStyle w:val="56"/>
              <w:ind w:firstLine="0" w:firstLineChars="0"/>
              <w:jc w:val="center"/>
            </w:pPr>
            <w:r>
              <w:rPr>
                <w:rFonts w:hint="eastAsia"/>
              </w:rPr>
              <w:t>t</w:t>
            </w:r>
          </w:p>
        </w:tc>
        <w:tc>
          <w:tcPr>
            <w:tcW w:w="1275" w:type="dxa"/>
            <w:tcBorders>
              <w:top w:val="single" w:color="auto" w:sz="4" w:space="0"/>
              <w:left w:val="single" w:color="auto" w:sz="4" w:space="0"/>
              <w:bottom w:val="single" w:color="auto" w:sz="4" w:space="0"/>
              <w:right w:val="single" w:color="auto" w:sz="4" w:space="0"/>
            </w:tcBorders>
            <w:vAlign w:val="center"/>
          </w:tcPr>
          <w:p w14:paraId="2B7F1CB8">
            <w:pPr>
              <w:pStyle w:val="56"/>
              <w:ind w:firstLine="0" w:firstLineChars="0"/>
              <w:jc w:val="center"/>
            </w:pPr>
            <w:r>
              <w:rPr>
                <w:rFonts w:hint="eastAsia"/>
              </w:rPr>
              <w:t>41.816</w:t>
            </w:r>
            <w:r>
              <w:rPr>
                <w:vertAlign w:val="superscript"/>
              </w:rPr>
              <w:t xml:space="preserve"> </w:t>
            </w:r>
            <w:r>
              <w:rPr>
                <w:rFonts w:hint="eastAsia"/>
                <w:vertAlign w:val="superscript"/>
              </w:rPr>
              <w:t>b</w:t>
            </w:r>
          </w:p>
        </w:tc>
        <w:tc>
          <w:tcPr>
            <w:tcW w:w="1418" w:type="dxa"/>
            <w:tcBorders>
              <w:top w:val="single" w:color="auto" w:sz="4" w:space="0"/>
              <w:left w:val="single" w:color="auto" w:sz="4" w:space="0"/>
              <w:bottom w:val="single" w:color="auto" w:sz="4" w:space="0"/>
              <w:right w:val="single" w:color="auto" w:sz="4" w:space="0"/>
            </w:tcBorders>
            <w:vAlign w:val="center"/>
          </w:tcPr>
          <w:p w14:paraId="467D9BFB">
            <w:pPr>
              <w:pStyle w:val="56"/>
              <w:ind w:firstLine="0" w:firstLineChars="0"/>
              <w:jc w:val="center"/>
            </w:pPr>
            <w:r>
              <w:rPr>
                <w:rFonts w:hint="eastAsia"/>
              </w:rPr>
              <w:t>20.1</w:t>
            </w:r>
            <w:r>
              <w:rPr>
                <w:vertAlign w:val="superscript"/>
              </w:rPr>
              <w:t xml:space="preserve"> </w:t>
            </w:r>
            <w:r>
              <w:rPr>
                <w:rFonts w:hint="eastAsia"/>
                <w:vertAlign w:val="superscript"/>
              </w:rPr>
              <w:t>a</w:t>
            </w:r>
          </w:p>
        </w:tc>
        <w:tc>
          <w:tcPr>
            <w:tcW w:w="1276" w:type="dxa"/>
            <w:tcBorders>
              <w:top w:val="single" w:color="auto" w:sz="4" w:space="0"/>
              <w:left w:val="single" w:color="auto" w:sz="4" w:space="0"/>
              <w:bottom w:val="single" w:color="auto" w:sz="4" w:space="0"/>
              <w:right w:val="single" w:color="auto" w:sz="4" w:space="0"/>
            </w:tcBorders>
            <w:vAlign w:val="center"/>
          </w:tcPr>
          <w:p w14:paraId="5BD5BD8E">
            <w:pPr>
              <w:pStyle w:val="56"/>
              <w:ind w:firstLine="0" w:firstLineChars="0"/>
              <w:jc w:val="center"/>
            </w:pPr>
            <w:r>
              <w:rPr>
                <w:rFonts w:hint="eastAsia"/>
              </w:rPr>
              <w:t>98</w:t>
            </w:r>
            <w:r>
              <w:rPr>
                <w:vertAlign w:val="superscript"/>
              </w:rPr>
              <w:t xml:space="preserve"> </w:t>
            </w:r>
            <w:r>
              <w:rPr>
                <w:rFonts w:hint="eastAsia"/>
                <w:vertAlign w:val="superscript"/>
              </w:rPr>
              <w:t>a</w:t>
            </w:r>
          </w:p>
        </w:tc>
        <w:tc>
          <w:tcPr>
            <w:tcW w:w="1559" w:type="dxa"/>
            <w:tcBorders>
              <w:top w:val="single" w:color="auto" w:sz="4" w:space="0"/>
              <w:left w:val="single" w:color="auto" w:sz="4" w:space="0"/>
              <w:bottom w:val="single" w:color="auto" w:sz="4" w:space="0"/>
              <w:right w:val="single" w:color="auto" w:sz="8" w:space="0"/>
            </w:tcBorders>
            <w:vAlign w:val="center"/>
          </w:tcPr>
          <w:p w14:paraId="31D5D477">
            <w:pPr>
              <w:pStyle w:val="56"/>
              <w:ind w:firstLine="0" w:firstLineChars="0"/>
              <w:jc w:val="center"/>
            </w:pPr>
            <w:r>
              <w:rPr>
                <w:rFonts w:hint="eastAsia"/>
              </w:rPr>
              <w:t>3.020</w:t>
            </w:r>
          </w:p>
        </w:tc>
      </w:tr>
      <w:tr w14:paraId="2F271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8" w:space="0"/>
              <w:bottom w:val="single" w:color="auto" w:sz="4" w:space="0"/>
              <w:right w:val="single" w:color="auto" w:sz="4" w:space="0"/>
            </w:tcBorders>
            <w:vAlign w:val="center"/>
          </w:tcPr>
          <w:p w14:paraId="2E5162CE">
            <w:pPr>
              <w:pStyle w:val="56"/>
              <w:ind w:firstLine="420"/>
              <w:jc w:val="center"/>
            </w:pPr>
          </w:p>
        </w:tc>
        <w:tc>
          <w:tcPr>
            <w:tcW w:w="1417" w:type="dxa"/>
            <w:tcBorders>
              <w:top w:val="single" w:color="auto" w:sz="4" w:space="0"/>
              <w:left w:val="single" w:color="auto" w:sz="4" w:space="0"/>
              <w:bottom w:val="single" w:color="auto" w:sz="4" w:space="0"/>
              <w:right w:val="single" w:color="auto" w:sz="4" w:space="0"/>
            </w:tcBorders>
            <w:vAlign w:val="center"/>
          </w:tcPr>
          <w:p w14:paraId="034852FB">
            <w:pPr>
              <w:pStyle w:val="56"/>
              <w:ind w:firstLine="0" w:firstLineChars="0"/>
              <w:jc w:val="center"/>
            </w:pPr>
            <w:r>
              <w:rPr>
                <w:rFonts w:hint="eastAsia"/>
              </w:rPr>
              <w:t>燃料油</w:t>
            </w:r>
          </w:p>
        </w:tc>
        <w:tc>
          <w:tcPr>
            <w:tcW w:w="1418" w:type="dxa"/>
            <w:tcBorders>
              <w:top w:val="single" w:color="auto" w:sz="4" w:space="0"/>
              <w:left w:val="single" w:color="auto" w:sz="4" w:space="0"/>
              <w:bottom w:val="single" w:color="auto" w:sz="4" w:space="0"/>
              <w:right w:val="single" w:color="auto" w:sz="4" w:space="0"/>
            </w:tcBorders>
            <w:vAlign w:val="center"/>
          </w:tcPr>
          <w:p w14:paraId="08A40802">
            <w:pPr>
              <w:pStyle w:val="56"/>
              <w:ind w:firstLine="0" w:firstLineChars="0"/>
              <w:jc w:val="center"/>
            </w:pPr>
            <w:r>
              <w:rPr>
                <w:rFonts w:hint="eastAsia"/>
              </w:rPr>
              <w:t>t</w:t>
            </w:r>
          </w:p>
        </w:tc>
        <w:tc>
          <w:tcPr>
            <w:tcW w:w="1275" w:type="dxa"/>
            <w:tcBorders>
              <w:top w:val="single" w:color="auto" w:sz="4" w:space="0"/>
              <w:left w:val="single" w:color="auto" w:sz="4" w:space="0"/>
              <w:bottom w:val="single" w:color="auto" w:sz="4" w:space="0"/>
              <w:right w:val="single" w:color="auto" w:sz="4" w:space="0"/>
            </w:tcBorders>
            <w:vAlign w:val="center"/>
          </w:tcPr>
          <w:p w14:paraId="17D3D746">
            <w:pPr>
              <w:pStyle w:val="56"/>
              <w:ind w:firstLine="0" w:firstLineChars="0"/>
              <w:jc w:val="center"/>
            </w:pPr>
            <w:r>
              <w:rPr>
                <w:rFonts w:hint="eastAsia"/>
              </w:rPr>
              <w:t>41.816</w:t>
            </w:r>
            <w:r>
              <w:rPr>
                <w:vertAlign w:val="superscript"/>
              </w:rPr>
              <w:t xml:space="preserve"> </w:t>
            </w:r>
            <w:r>
              <w:rPr>
                <w:rFonts w:hint="eastAsia"/>
                <w:vertAlign w:val="superscript"/>
              </w:rPr>
              <w:t>b</w:t>
            </w:r>
          </w:p>
        </w:tc>
        <w:tc>
          <w:tcPr>
            <w:tcW w:w="1418" w:type="dxa"/>
            <w:tcBorders>
              <w:top w:val="single" w:color="auto" w:sz="4" w:space="0"/>
              <w:left w:val="single" w:color="auto" w:sz="4" w:space="0"/>
              <w:bottom w:val="single" w:color="auto" w:sz="4" w:space="0"/>
              <w:right w:val="single" w:color="auto" w:sz="4" w:space="0"/>
            </w:tcBorders>
            <w:vAlign w:val="center"/>
          </w:tcPr>
          <w:p w14:paraId="34F658C9">
            <w:pPr>
              <w:pStyle w:val="56"/>
              <w:ind w:firstLine="0" w:firstLineChars="0"/>
              <w:jc w:val="center"/>
            </w:pPr>
            <w:r>
              <w:rPr>
                <w:rFonts w:hint="eastAsia"/>
              </w:rPr>
              <w:t>21.1</w:t>
            </w:r>
            <w:r>
              <w:rPr>
                <w:vertAlign w:val="superscript"/>
              </w:rPr>
              <w:t xml:space="preserve"> </w:t>
            </w:r>
            <w:r>
              <w:rPr>
                <w:rFonts w:hint="eastAsia"/>
                <w:vertAlign w:val="superscript"/>
              </w:rPr>
              <w:t>a</w:t>
            </w:r>
          </w:p>
        </w:tc>
        <w:tc>
          <w:tcPr>
            <w:tcW w:w="1276" w:type="dxa"/>
            <w:tcBorders>
              <w:top w:val="single" w:color="auto" w:sz="4" w:space="0"/>
              <w:left w:val="single" w:color="auto" w:sz="4" w:space="0"/>
              <w:bottom w:val="single" w:color="auto" w:sz="4" w:space="0"/>
              <w:right w:val="single" w:color="auto" w:sz="4" w:space="0"/>
            </w:tcBorders>
            <w:vAlign w:val="center"/>
          </w:tcPr>
          <w:p w14:paraId="69B8E2BB">
            <w:pPr>
              <w:pStyle w:val="56"/>
              <w:ind w:firstLine="0" w:firstLineChars="0"/>
              <w:jc w:val="center"/>
            </w:pPr>
            <w:r>
              <w:rPr>
                <w:rFonts w:hint="eastAsia"/>
              </w:rPr>
              <w:t>98</w:t>
            </w:r>
            <w:r>
              <w:rPr>
                <w:vertAlign w:val="superscript"/>
              </w:rPr>
              <w:t xml:space="preserve"> </w:t>
            </w:r>
            <w:r>
              <w:rPr>
                <w:rFonts w:hint="eastAsia"/>
                <w:vertAlign w:val="superscript"/>
              </w:rPr>
              <w:t>a</w:t>
            </w:r>
          </w:p>
        </w:tc>
        <w:tc>
          <w:tcPr>
            <w:tcW w:w="1559" w:type="dxa"/>
            <w:tcBorders>
              <w:top w:val="single" w:color="auto" w:sz="4" w:space="0"/>
              <w:left w:val="single" w:color="auto" w:sz="4" w:space="0"/>
              <w:bottom w:val="single" w:color="auto" w:sz="4" w:space="0"/>
              <w:right w:val="single" w:color="auto" w:sz="8" w:space="0"/>
            </w:tcBorders>
            <w:vAlign w:val="center"/>
          </w:tcPr>
          <w:p w14:paraId="74DF21F8">
            <w:pPr>
              <w:pStyle w:val="56"/>
              <w:ind w:firstLine="0" w:firstLineChars="0"/>
              <w:jc w:val="center"/>
            </w:pPr>
            <w:r>
              <w:rPr>
                <w:rFonts w:hint="eastAsia"/>
              </w:rPr>
              <w:t>3.170</w:t>
            </w:r>
          </w:p>
        </w:tc>
      </w:tr>
      <w:tr w14:paraId="23416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vMerge w:val="continue"/>
            <w:tcBorders>
              <w:top w:val="single" w:color="auto" w:sz="4" w:space="0"/>
              <w:left w:val="single" w:color="auto" w:sz="8" w:space="0"/>
              <w:bottom w:val="single" w:color="auto" w:sz="4" w:space="0"/>
              <w:right w:val="single" w:color="auto" w:sz="4" w:space="0"/>
            </w:tcBorders>
            <w:vAlign w:val="center"/>
          </w:tcPr>
          <w:p w14:paraId="0A9751BE">
            <w:pPr>
              <w:pStyle w:val="56"/>
              <w:ind w:firstLine="420"/>
              <w:jc w:val="center"/>
            </w:pPr>
          </w:p>
        </w:tc>
        <w:tc>
          <w:tcPr>
            <w:tcW w:w="1417" w:type="dxa"/>
            <w:tcBorders>
              <w:top w:val="single" w:color="auto" w:sz="4" w:space="0"/>
              <w:left w:val="single" w:color="auto" w:sz="4" w:space="0"/>
              <w:bottom w:val="single" w:color="auto" w:sz="4" w:space="0"/>
              <w:right w:val="single" w:color="auto" w:sz="4" w:space="0"/>
            </w:tcBorders>
            <w:vAlign w:val="center"/>
          </w:tcPr>
          <w:p w14:paraId="6A27AC4E">
            <w:pPr>
              <w:pStyle w:val="56"/>
              <w:ind w:firstLine="0" w:firstLineChars="0"/>
              <w:jc w:val="center"/>
            </w:pPr>
            <w:r>
              <w:rPr>
                <w:rFonts w:hint="eastAsia"/>
              </w:rPr>
              <w:t>汽油</w:t>
            </w:r>
          </w:p>
        </w:tc>
        <w:tc>
          <w:tcPr>
            <w:tcW w:w="1418" w:type="dxa"/>
            <w:tcBorders>
              <w:top w:val="single" w:color="auto" w:sz="4" w:space="0"/>
              <w:left w:val="single" w:color="auto" w:sz="4" w:space="0"/>
              <w:bottom w:val="single" w:color="auto" w:sz="4" w:space="0"/>
              <w:right w:val="single" w:color="auto" w:sz="4" w:space="0"/>
            </w:tcBorders>
            <w:vAlign w:val="center"/>
          </w:tcPr>
          <w:p w14:paraId="0F0A14B7">
            <w:pPr>
              <w:pStyle w:val="56"/>
              <w:ind w:firstLine="0" w:firstLineChars="0"/>
              <w:jc w:val="center"/>
            </w:pPr>
            <w:r>
              <w:rPr>
                <w:rFonts w:hint="eastAsia"/>
              </w:rPr>
              <w:t>t</w:t>
            </w:r>
          </w:p>
        </w:tc>
        <w:tc>
          <w:tcPr>
            <w:tcW w:w="1275" w:type="dxa"/>
            <w:tcBorders>
              <w:top w:val="single" w:color="auto" w:sz="4" w:space="0"/>
              <w:left w:val="single" w:color="auto" w:sz="4" w:space="0"/>
              <w:bottom w:val="single" w:color="auto" w:sz="4" w:space="0"/>
              <w:right w:val="single" w:color="auto" w:sz="4" w:space="0"/>
            </w:tcBorders>
            <w:vAlign w:val="center"/>
          </w:tcPr>
          <w:p w14:paraId="10C964EF">
            <w:pPr>
              <w:pStyle w:val="56"/>
              <w:ind w:firstLine="0" w:firstLineChars="0"/>
              <w:jc w:val="center"/>
            </w:pPr>
            <w:r>
              <w:rPr>
                <w:rFonts w:hint="eastAsia"/>
              </w:rPr>
              <w:t>43.070</w:t>
            </w:r>
            <w:r>
              <w:rPr>
                <w:vertAlign w:val="superscript"/>
              </w:rPr>
              <w:t xml:space="preserve"> </w:t>
            </w:r>
            <w:r>
              <w:rPr>
                <w:rFonts w:hint="eastAsia"/>
                <w:vertAlign w:val="superscript"/>
              </w:rPr>
              <w:t>b</w:t>
            </w:r>
          </w:p>
        </w:tc>
        <w:tc>
          <w:tcPr>
            <w:tcW w:w="1418" w:type="dxa"/>
            <w:tcBorders>
              <w:top w:val="single" w:color="auto" w:sz="4" w:space="0"/>
              <w:left w:val="single" w:color="auto" w:sz="4" w:space="0"/>
              <w:bottom w:val="single" w:color="auto" w:sz="4" w:space="0"/>
              <w:right w:val="single" w:color="auto" w:sz="4" w:space="0"/>
            </w:tcBorders>
            <w:vAlign w:val="center"/>
          </w:tcPr>
          <w:p w14:paraId="1931DDFF">
            <w:pPr>
              <w:pStyle w:val="56"/>
              <w:ind w:firstLine="0" w:firstLineChars="0"/>
              <w:jc w:val="center"/>
            </w:pPr>
            <w:r>
              <w:rPr>
                <w:rFonts w:hint="eastAsia"/>
              </w:rPr>
              <w:t>18.9</w:t>
            </w:r>
            <w:r>
              <w:rPr>
                <w:vertAlign w:val="superscript"/>
              </w:rPr>
              <w:t xml:space="preserve"> </w:t>
            </w:r>
            <w:r>
              <w:rPr>
                <w:rFonts w:hint="eastAsia"/>
                <w:vertAlign w:val="superscript"/>
              </w:rPr>
              <w:t>a</w:t>
            </w:r>
          </w:p>
        </w:tc>
        <w:tc>
          <w:tcPr>
            <w:tcW w:w="1276" w:type="dxa"/>
            <w:tcBorders>
              <w:top w:val="single" w:color="auto" w:sz="4" w:space="0"/>
              <w:left w:val="single" w:color="auto" w:sz="4" w:space="0"/>
              <w:bottom w:val="single" w:color="auto" w:sz="4" w:space="0"/>
              <w:right w:val="single" w:color="auto" w:sz="4" w:space="0"/>
            </w:tcBorders>
            <w:vAlign w:val="center"/>
          </w:tcPr>
          <w:p w14:paraId="291E49D1">
            <w:pPr>
              <w:pStyle w:val="56"/>
              <w:ind w:firstLine="0" w:firstLineChars="0"/>
              <w:jc w:val="center"/>
            </w:pPr>
            <w:r>
              <w:rPr>
                <w:rFonts w:hint="eastAsia"/>
              </w:rPr>
              <w:t>98</w:t>
            </w:r>
            <w:r>
              <w:rPr>
                <w:vertAlign w:val="superscript"/>
              </w:rPr>
              <w:t xml:space="preserve"> </w:t>
            </w:r>
            <w:r>
              <w:rPr>
                <w:rFonts w:hint="eastAsia"/>
                <w:vertAlign w:val="superscript"/>
              </w:rPr>
              <w:t>a</w:t>
            </w:r>
          </w:p>
        </w:tc>
        <w:tc>
          <w:tcPr>
            <w:tcW w:w="1559" w:type="dxa"/>
            <w:tcBorders>
              <w:top w:val="single" w:color="auto" w:sz="4" w:space="0"/>
              <w:left w:val="single" w:color="auto" w:sz="4" w:space="0"/>
              <w:bottom w:val="single" w:color="auto" w:sz="4" w:space="0"/>
              <w:right w:val="single" w:color="auto" w:sz="8" w:space="0"/>
            </w:tcBorders>
            <w:vAlign w:val="center"/>
          </w:tcPr>
          <w:p w14:paraId="0A02AA06">
            <w:pPr>
              <w:pStyle w:val="56"/>
              <w:ind w:firstLine="0" w:firstLineChars="0"/>
              <w:jc w:val="center"/>
            </w:pPr>
            <w:r>
              <w:rPr>
                <w:rFonts w:hint="eastAsia"/>
              </w:rPr>
              <w:t>2.925</w:t>
            </w:r>
          </w:p>
        </w:tc>
      </w:tr>
      <w:tr w14:paraId="5E89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8" w:space="0"/>
              <w:bottom w:val="single" w:color="auto" w:sz="4" w:space="0"/>
              <w:right w:val="single" w:color="auto" w:sz="4" w:space="0"/>
            </w:tcBorders>
            <w:vAlign w:val="center"/>
          </w:tcPr>
          <w:p w14:paraId="1FECD09B">
            <w:pPr>
              <w:pStyle w:val="56"/>
              <w:ind w:firstLine="420"/>
              <w:jc w:val="center"/>
            </w:pPr>
          </w:p>
        </w:tc>
        <w:tc>
          <w:tcPr>
            <w:tcW w:w="1417" w:type="dxa"/>
            <w:tcBorders>
              <w:top w:val="single" w:color="auto" w:sz="4" w:space="0"/>
              <w:left w:val="single" w:color="auto" w:sz="4" w:space="0"/>
              <w:bottom w:val="single" w:color="auto" w:sz="4" w:space="0"/>
              <w:right w:val="single" w:color="auto" w:sz="4" w:space="0"/>
            </w:tcBorders>
            <w:vAlign w:val="center"/>
          </w:tcPr>
          <w:p w14:paraId="5B0B9D2E">
            <w:pPr>
              <w:pStyle w:val="56"/>
              <w:ind w:firstLine="0" w:firstLineChars="0"/>
              <w:jc w:val="center"/>
            </w:pPr>
            <w:r>
              <w:rPr>
                <w:rFonts w:hint="eastAsia"/>
              </w:rPr>
              <w:t>柴油</w:t>
            </w:r>
          </w:p>
        </w:tc>
        <w:tc>
          <w:tcPr>
            <w:tcW w:w="1418" w:type="dxa"/>
            <w:tcBorders>
              <w:top w:val="single" w:color="auto" w:sz="4" w:space="0"/>
              <w:left w:val="single" w:color="auto" w:sz="4" w:space="0"/>
              <w:bottom w:val="single" w:color="auto" w:sz="4" w:space="0"/>
              <w:right w:val="single" w:color="auto" w:sz="4" w:space="0"/>
            </w:tcBorders>
            <w:vAlign w:val="center"/>
          </w:tcPr>
          <w:p w14:paraId="6799C380">
            <w:pPr>
              <w:pStyle w:val="56"/>
              <w:ind w:firstLine="0" w:firstLineChars="0"/>
              <w:jc w:val="center"/>
            </w:pPr>
            <w:r>
              <w:rPr>
                <w:rFonts w:hint="eastAsia"/>
              </w:rPr>
              <w:t>t</w:t>
            </w:r>
          </w:p>
        </w:tc>
        <w:tc>
          <w:tcPr>
            <w:tcW w:w="1275" w:type="dxa"/>
            <w:tcBorders>
              <w:top w:val="single" w:color="auto" w:sz="4" w:space="0"/>
              <w:left w:val="single" w:color="auto" w:sz="4" w:space="0"/>
              <w:bottom w:val="single" w:color="auto" w:sz="4" w:space="0"/>
              <w:right w:val="single" w:color="auto" w:sz="4" w:space="0"/>
            </w:tcBorders>
            <w:vAlign w:val="center"/>
          </w:tcPr>
          <w:p w14:paraId="10EE04E2">
            <w:pPr>
              <w:pStyle w:val="56"/>
              <w:ind w:firstLine="0" w:firstLineChars="0"/>
              <w:jc w:val="center"/>
            </w:pPr>
            <w:r>
              <w:rPr>
                <w:rFonts w:hint="eastAsia"/>
              </w:rPr>
              <w:t>42.652</w:t>
            </w:r>
            <w:r>
              <w:rPr>
                <w:vertAlign w:val="superscript"/>
              </w:rPr>
              <w:t xml:space="preserve"> </w:t>
            </w:r>
            <w:r>
              <w:rPr>
                <w:rFonts w:hint="eastAsia"/>
                <w:vertAlign w:val="superscript"/>
              </w:rPr>
              <w:t>b</w:t>
            </w:r>
          </w:p>
        </w:tc>
        <w:tc>
          <w:tcPr>
            <w:tcW w:w="1418" w:type="dxa"/>
            <w:tcBorders>
              <w:top w:val="single" w:color="auto" w:sz="4" w:space="0"/>
              <w:left w:val="single" w:color="auto" w:sz="4" w:space="0"/>
              <w:bottom w:val="single" w:color="auto" w:sz="4" w:space="0"/>
              <w:right w:val="single" w:color="auto" w:sz="4" w:space="0"/>
            </w:tcBorders>
            <w:vAlign w:val="center"/>
          </w:tcPr>
          <w:p w14:paraId="163DFD7D">
            <w:pPr>
              <w:pStyle w:val="56"/>
              <w:ind w:firstLine="0" w:firstLineChars="0"/>
              <w:jc w:val="center"/>
            </w:pPr>
            <w:r>
              <w:rPr>
                <w:rFonts w:hint="eastAsia"/>
              </w:rPr>
              <w:t>20.2</w:t>
            </w:r>
            <w:r>
              <w:rPr>
                <w:vertAlign w:val="superscript"/>
              </w:rPr>
              <w:t xml:space="preserve"> </w:t>
            </w:r>
            <w:r>
              <w:rPr>
                <w:rFonts w:hint="eastAsia"/>
                <w:vertAlign w:val="superscript"/>
              </w:rPr>
              <w:t>a</w:t>
            </w:r>
          </w:p>
        </w:tc>
        <w:tc>
          <w:tcPr>
            <w:tcW w:w="1276" w:type="dxa"/>
            <w:tcBorders>
              <w:top w:val="single" w:color="auto" w:sz="4" w:space="0"/>
              <w:left w:val="single" w:color="auto" w:sz="4" w:space="0"/>
              <w:bottom w:val="single" w:color="auto" w:sz="4" w:space="0"/>
              <w:right w:val="single" w:color="auto" w:sz="4" w:space="0"/>
            </w:tcBorders>
            <w:vAlign w:val="center"/>
          </w:tcPr>
          <w:p w14:paraId="63325E67">
            <w:pPr>
              <w:pStyle w:val="56"/>
              <w:ind w:firstLine="0" w:firstLineChars="0"/>
              <w:jc w:val="center"/>
            </w:pPr>
            <w:r>
              <w:rPr>
                <w:rFonts w:hint="eastAsia"/>
              </w:rPr>
              <w:t>98</w:t>
            </w:r>
            <w:r>
              <w:rPr>
                <w:vertAlign w:val="superscript"/>
              </w:rPr>
              <w:t xml:space="preserve"> </w:t>
            </w:r>
            <w:r>
              <w:rPr>
                <w:rFonts w:hint="eastAsia"/>
                <w:vertAlign w:val="superscript"/>
              </w:rPr>
              <w:t>a</w:t>
            </w:r>
          </w:p>
        </w:tc>
        <w:tc>
          <w:tcPr>
            <w:tcW w:w="1559" w:type="dxa"/>
            <w:tcBorders>
              <w:top w:val="single" w:color="auto" w:sz="4" w:space="0"/>
              <w:left w:val="single" w:color="auto" w:sz="4" w:space="0"/>
              <w:bottom w:val="single" w:color="auto" w:sz="4" w:space="0"/>
              <w:right w:val="single" w:color="auto" w:sz="8" w:space="0"/>
            </w:tcBorders>
            <w:vAlign w:val="center"/>
          </w:tcPr>
          <w:p w14:paraId="1E5C85E3">
            <w:pPr>
              <w:pStyle w:val="56"/>
              <w:ind w:firstLine="0" w:firstLineChars="0"/>
              <w:jc w:val="center"/>
            </w:pPr>
            <w:r>
              <w:rPr>
                <w:rFonts w:hint="eastAsia"/>
              </w:rPr>
              <w:t>3.096</w:t>
            </w:r>
          </w:p>
        </w:tc>
      </w:tr>
      <w:tr w14:paraId="1BF10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8" w:space="0"/>
              <w:bottom w:val="single" w:color="auto" w:sz="4" w:space="0"/>
              <w:right w:val="single" w:color="auto" w:sz="4" w:space="0"/>
            </w:tcBorders>
            <w:vAlign w:val="center"/>
          </w:tcPr>
          <w:p w14:paraId="4DDA8CAD">
            <w:pPr>
              <w:pStyle w:val="56"/>
              <w:ind w:firstLine="420"/>
              <w:jc w:val="center"/>
            </w:pPr>
          </w:p>
        </w:tc>
        <w:tc>
          <w:tcPr>
            <w:tcW w:w="1417" w:type="dxa"/>
            <w:tcBorders>
              <w:top w:val="single" w:color="auto" w:sz="4" w:space="0"/>
              <w:left w:val="single" w:color="auto" w:sz="4" w:space="0"/>
              <w:bottom w:val="single" w:color="auto" w:sz="4" w:space="0"/>
              <w:right w:val="single" w:color="auto" w:sz="4" w:space="0"/>
            </w:tcBorders>
            <w:vAlign w:val="center"/>
          </w:tcPr>
          <w:p w14:paraId="54539520">
            <w:pPr>
              <w:pStyle w:val="56"/>
              <w:ind w:firstLine="0" w:firstLineChars="0"/>
              <w:jc w:val="center"/>
            </w:pPr>
            <w:r>
              <w:rPr>
                <w:rFonts w:hint="eastAsia"/>
              </w:rPr>
              <w:t>液化天然气</w:t>
            </w:r>
          </w:p>
        </w:tc>
        <w:tc>
          <w:tcPr>
            <w:tcW w:w="1418" w:type="dxa"/>
            <w:tcBorders>
              <w:top w:val="single" w:color="auto" w:sz="4" w:space="0"/>
              <w:left w:val="single" w:color="auto" w:sz="4" w:space="0"/>
              <w:bottom w:val="single" w:color="auto" w:sz="4" w:space="0"/>
              <w:right w:val="single" w:color="auto" w:sz="4" w:space="0"/>
            </w:tcBorders>
            <w:vAlign w:val="center"/>
          </w:tcPr>
          <w:p w14:paraId="258CC305">
            <w:pPr>
              <w:pStyle w:val="56"/>
              <w:ind w:firstLine="0" w:firstLineChars="0"/>
              <w:jc w:val="center"/>
            </w:pPr>
            <w:r>
              <w:rPr>
                <w:rFonts w:hint="eastAsia"/>
              </w:rPr>
              <w:t>t</w:t>
            </w:r>
          </w:p>
        </w:tc>
        <w:tc>
          <w:tcPr>
            <w:tcW w:w="1275" w:type="dxa"/>
            <w:tcBorders>
              <w:top w:val="single" w:color="auto" w:sz="4" w:space="0"/>
              <w:left w:val="single" w:color="auto" w:sz="4" w:space="0"/>
              <w:bottom w:val="single" w:color="auto" w:sz="4" w:space="0"/>
              <w:right w:val="single" w:color="auto" w:sz="4" w:space="0"/>
            </w:tcBorders>
            <w:vAlign w:val="center"/>
          </w:tcPr>
          <w:p w14:paraId="24225ADA">
            <w:pPr>
              <w:pStyle w:val="56"/>
              <w:ind w:firstLine="0" w:firstLineChars="0"/>
              <w:jc w:val="center"/>
            </w:pPr>
            <w:r>
              <w:rPr>
                <w:rFonts w:hint="eastAsia"/>
              </w:rPr>
              <w:t>51.498</w:t>
            </w:r>
            <w:r>
              <w:rPr>
                <w:vertAlign w:val="superscript"/>
              </w:rPr>
              <w:t xml:space="preserve"> </w:t>
            </w:r>
            <w:r>
              <w:rPr>
                <w:rFonts w:hint="eastAsia"/>
                <w:vertAlign w:val="superscript"/>
              </w:rPr>
              <w:t>c</w:t>
            </w:r>
          </w:p>
        </w:tc>
        <w:tc>
          <w:tcPr>
            <w:tcW w:w="1418" w:type="dxa"/>
            <w:tcBorders>
              <w:top w:val="single" w:color="auto" w:sz="4" w:space="0"/>
              <w:left w:val="single" w:color="auto" w:sz="4" w:space="0"/>
              <w:bottom w:val="single" w:color="auto" w:sz="4" w:space="0"/>
              <w:right w:val="single" w:color="auto" w:sz="4" w:space="0"/>
            </w:tcBorders>
            <w:vAlign w:val="center"/>
          </w:tcPr>
          <w:p w14:paraId="55043456">
            <w:pPr>
              <w:pStyle w:val="56"/>
              <w:ind w:firstLine="0" w:firstLineChars="0"/>
              <w:jc w:val="center"/>
            </w:pPr>
            <w:r>
              <w:rPr>
                <w:rFonts w:hint="eastAsia"/>
              </w:rPr>
              <w:t>15.3</w:t>
            </w:r>
            <w:r>
              <w:rPr>
                <w:vertAlign w:val="superscript"/>
              </w:rPr>
              <w:t xml:space="preserve"> </w:t>
            </w:r>
            <w:r>
              <w:rPr>
                <w:rFonts w:hint="eastAsia"/>
                <w:vertAlign w:val="superscript"/>
              </w:rPr>
              <w:t>a</w:t>
            </w:r>
          </w:p>
        </w:tc>
        <w:tc>
          <w:tcPr>
            <w:tcW w:w="1276" w:type="dxa"/>
            <w:tcBorders>
              <w:top w:val="single" w:color="auto" w:sz="4" w:space="0"/>
              <w:left w:val="single" w:color="auto" w:sz="4" w:space="0"/>
              <w:bottom w:val="single" w:color="auto" w:sz="4" w:space="0"/>
              <w:right w:val="single" w:color="auto" w:sz="4" w:space="0"/>
            </w:tcBorders>
            <w:vAlign w:val="center"/>
          </w:tcPr>
          <w:p w14:paraId="1D58AA99">
            <w:pPr>
              <w:pStyle w:val="56"/>
              <w:ind w:firstLine="0" w:firstLineChars="0"/>
              <w:jc w:val="center"/>
            </w:pPr>
            <w:r>
              <w:rPr>
                <w:rFonts w:hint="eastAsia"/>
              </w:rPr>
              <w:t>98</w:t>
            </w:r>
            <w:r>
              <w:rPr>
                <w:vertAlign w:val="superscript"/>
              </w:rPr>
              <w:t xml:space="preserve"> </w:t>
            </w:r>
            <w:r>
              <w:rPr>
                <w:rFonts w:hint="eastAsia"/>
                <w:vertAlign w:val="superscript"/>
              </w:rPr>
              <w:t>a</w:t>
            </w:r>
          </w:p>
        </w:tc>
        <w:tc>
          <w:tcPr>
            <w:tcW w:w="1559" w:type="dxa"/>
            <w:tcBorders>
              <w:top w:val="single" w:color="auto" w:sz="4" w:space="0"/>
              <w:left w:val="single" w:color="auto" w:sz="4" w:space="0"/>
              <w:bottom w:val="single" w:color="auto" w:sz="4" w:space="0"/>
              <w:right w:val="single" w:color="auto" w:sz="8" w:space="0"/>
            </w:tcBorders>
            <w:vAlign w:val="center"/>
          </w:tcPr>
          <w:p w14:paraId="6D9583E0">
            <w:pPr>
              <w:pStyle w:val="56"/>
              <w:ind w:firstLine="0" w:firstLineChars="0"/>
              <w:jc w:val="center"/>
            </w:pPr>
            <w:r>
              <w:rPr>
                <w:rFonts w:hint="eastAsia"/>
              </w:rPr>
              <w:t>2.831</w:t>
            </w:r>
          </w:p>
        </w:tc>
      </w:tr>
      <w:tr w14:paraId="20D5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8" w:space="0"/>
              <w:bottom w:val="single" w:color="auto" w:sz="4" w:space="0"/>
              <w:right w:val="single" w:color="auto" w:sz="4" w:space="0"/>
            </w:tcBorders>
            <w:vAlign w:val="center"/>
          </w:tcPr>
          <w:p w14:paraId="09EB92C4">
            <w:pPr>
              <w:pStyle w:val="56"/>
              <w:ind w:firstLine="420"/>
              <w:jc w:val="center"/>
            </w:pPr>
          </w:p>
        </w:tc>
        <w:tc>
          <w:tcPr>
            <w:tcW w:w="1417" w:type="dxa"/>
            <w:tcBorders>
              <w:top w:val="single" w:color="auto" w:sz="4" w:space="0"/>
              <w:left w:val="single" w:color="auto" w:sz="4" w:space="0"/>
              <w:bottom w:val="single" w:color="auto" w:sz="4" w:space="0"/>
              <w:right w:val="single" w:color="auto" w:sz="4" w:space="0"/>
            </w:tcBorders>
            <w:vAlign w:val="center"/>
          </w:tcPr>
          <w:p w14:paraId="2D6A1BB5">
            <w:pPr>
              <w:pStyle w:val="56"/>
              <w:ind w:firstLine="0" w:firstLineChars="0"/>
              <w:jc w:val="center"/>
            </w:pPr>
            <w:r>
              <w:rPr>
                <w:rFonts w:hint="eastAsia"/>
              </w:rPr>
              <w:t>液化石油气</w:t>
            </w:r>
          </w:p>
        </w:tc>
        <w:tc>
          <w:tcPr>
            <w:tcW w:w="1418" w:type="dxa"/>
            <w:tcBorders>
              <w:top w:val="single" w:color="auto" w:sz="4" w:space="0"/>
              <w:left w:val="single" w:color="auto" w:sz="4" w:space="0"/>
              <w:bottom w:val="single" w:color="auto" w:sz="4" w:space="0"/>
              <w:right w:val="single" w:color="auto" w:sz="4" w:space="0"/>
            </w:tcBorders>
            <w:vAlign w:val="center"/>
          </w:tcPr>
          <w:p w14:paraId="5AB5B290">
            <w:pPr>
              <w:pStyle w:val="56"/>
              <w:ind w:firstLine="0" w:firstLineChars="0"/>
              <w:jc w:val="center"/>
            </w:pPr>
            <w:r>
              <w:rPr>
                <w:rFonts w:hint="eastAsia"/>
              </w:rPr>
              <w:t>t</w:t>
            </w:r>
          </w:p>
        </w:tc>
        <w:tc>
          <w:tcPr>
            <w:tcW w:w="1275" w:type="dxa"/>
            <w:tcBorders>
              <w:top w:val="single" w:color="auto" w:sz="4" w:space="0"/>
              <w:left w:val="single" w:color="auto" w:sz="4" w:space="0"/>
              <w:bottom w:val="single" w:color="auto" w:sz="4" w:space="0"/>
              <w:right w:val="single" w:color="auto" w:sz="4" w:space="0"/>
            </w:tcBorders>
            <w:vAlign w:val="center"/>
          </w:tcPr>
          <w:p w14:paraId="079026EB">
            <w:pPr>
              <w:pStyle w:val="56"/>
              <w:ind w:firstLine="0" w:firstLineChars="0"/>
              <w:jc w:val="center"/>
            </w:pPr>
            <w:r>
              <w:rPr>
                <w:rFonts w:hint="eastAsia"/>
              </w:rPr>
              <w:t>50.179</w:t>
            </w:r>
            <w:r>
              <w:rPr>
                <w:vertAlign w:val="superscript"/>
              </w:rPr>
              <w:t xml:space="preserve"> </w:t>
            </w:r>
            <w:r>
              <w:rPr>
                <w:rFonts w:hint="eastAsia"/>
                <w:vertAlign w:val="superscript"/>
              </w:rPr>
              <w:t>b</w:t>
            </w:r>
          </w:p>
        </w:tc>
        <w:tc>
          <w:tcPr>
            <w:tcW w:w="1418" w:type="dxa"/>
            <w:tcBorders>
              <w:top w:val="single" w:color="auto" w:sz="4" w:space="0"/>
              <w:left w:val="single" w:color="auto" w:sz="4" w:space="0"/>
              <w:bottom w:val="single" w:color="auto" w:sz="4" w:space="0"/>
              <w:right w:val="single" w:color="auto" w:sz="4" w:space="0"/>
            </w:tcBorders>
            <w:vAlign w:val="center"/>
          </w:tcPr>
          <w:p w14:paraId="4031A85D">
            <w:pPr>
              <w:pStyle w:val="56"/>
              <w:ind w:firstLine="0" w:firstLineChars="0"/>
              <w:jc w:val="center"/>
            </w:pPr>
            <w:r>
              <w:rPr>
                <w:rFonts w:hint="eastAsia"/>
              </w:rPr>
              <w:t>17.2</w:t>
            </w:r>
            <w:r>
              <w:rPr>
                <w:vertAlign w:val="superscript"/>
              </w:rPr>
              <w:t xml:space="preserve"> </w:t>
            </w:r>
            <w:r>
              <w:rPr>
                <w:rFonts w:hint="eastAsia"/>
                <w:vertAlign w:val="superscript"/>
              </w:rPr>
              <w:t>a</w:t>
            </w:r>
          </w:p>
        </w:tc>
        <w:tc>
          <w:tcPr>
            <w:tcW w:w="1276" w:type="dxa"/>
            <w:tcBorders>
              <w:top w:val="single" w:color="auto" w:sz="4" w:space="0"/>
              <w:left w:val="single" w:color="auto" w:sz="4" w:space="0"/>
              <w:bottom w:val="single" w:color="auto" w:sz="4" w:space="0"/>
              <w:right w:val="single" w:color="auto" w:sz="4" w:space="0"/>
            </w:tcBorders>
            <w:vAlign w:val="center"/>
          </w:tcPr>
          <w:p w14:paraId="4C14CAF5">
            <w:pPr>
              <w:pStyle w:val="56"/>
              <w:ind w:firstLine="0" w:firstLineChars="0"/>
              <w:jc w:val="center"/>
            </w:pPr>
            <w:r>
              <w:rPr>
                <w:rFonts w:hint="eastAsia"/>
              </w:rPr>
              <w:t>98</w:t>
            </w:r>
            <w:r>
              <w:rPr>
                <w:vertAlign w:val="superscript"/>
              </w:rPr>
              <w:t xml:space="preserve"> </w:t>
            </w:r>
            <w:r>
              <w:rPr>
                <w:rFonts w:hint="eastAsia"/>
                <w:vertAlign w:val="superscript"/>
              </w:rPr>
              <w:t>a</w:t>
            </w:r>
          </w:p>
        </w:tc>
        <w:tc>
          <w:tcPr>
            <w:tcW w:w="1559" w:type="dxa"/>
            <w:tcBorders>
              <w:top w:val="single" w:color="auto" w:sz="4" w:space="0"/>
              <w:left w:val="single" w:color="auto" w:sz="4" w:space="0"/>
              <w:bottom w:val="single" w:color="auto" w:sz="4" w:space="0"/>
              <w:right w:val="single" w:color="auto" w:sz="8" w:space="0"/>
            </w:tcBorders>
            <w:vAlign w:val="center"/>
          </w:tcPr>
          <w:p w14:paraId="54BAE44E">
            <w:pPr>
              <w:pStyle w:val="56"/>
              <w:ind w:firstLine="0" w:firstLineChars="0"/>
              <w:jc w:val="center"/>
            </w:pPr>
            <w:r>
              <w:rPr>
                <w:rFonts w:hint="eastAsia"/>
              </w:rPr>
              <w:t>3.101</w:t>
            </w:r>
          </w:p>
        </w:tc>
      </w:tr>
      <w:tr w14:paraId="0A4E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tcBorders>
              <w:top w:val="single" w:color="auto" w:sz="4" w:space="0"/>
              <w:left w:val="single" w:color="auto" w:sz="8" w:space="0"/>
              <w:bottom w:val="single" w:color="auto" w:sz="4" w:space="0"/>
              <w:right w:val="single" w:color="auto" w:sz="4" w:space="0"/>
            </w:tcBorders>
            <w:vAlign w:val="center"/>
          </w:tcPr>
          <w:p w14:paraId="37B271AE">
            <w:pPr>
              <w:pStyle w:val="56"/>
              <w:ind w:firstLine="0" w:firstLineChars="0"/>
              <w:jc w:val="center"/>
            </w:pPr>
            <w:r>
              <w:rPr>
                <w:rFonts w:hint="eastAsia"/>
              </w:rPr>
              <w:t>气体燃料</w:t>
            </w:r>
          </w:p>
        </w:tc>
        <w:tc>
          <w:tcPr>
            <w:tcW w:w="1417" w:type="dxa"/>
            <w:tcBorders>
              <w:top w:val="single" w:color="auto" w:sz="4" w:space="0"/>
              <w:left w:val="single" w:color="auto" w:sz="4" w:space="0"/>
              <w:bottom w:val="single" w:color="auto" w:sz="4" w:space="0"/>
              <w:right w:val="single" w:color="auto" w:sz="4" w:space="0"/>
            </w:tcBorders>
            <w:vAlign w:val="center"/>
          </w:tcPr>
          <w:p w14:paraId="53BFF27B">
            <w:pPr>
              <w:pStyle w:val="56"/>
              <w:ind w:firstLine="0" w:firstLineChars="0"/>
              <w:jc w:val="center"/>
            </w:pPr>
            <w:r>
              <w:rPr>
                <w:rFonts w:hint="eastAsia"/>
              </w:rPr>
              <w:t>天然气</w:t>
            </w:r>
          </w:p>
        </w:tc>
        <w:tc>
          <w:tcPr>
            <w:tcW w:w="1418" w:type="dxa"/>
            <w:tcBorders>
              <w:top w:val="single" w:color="auto" w:sz="4" w:space="0"/>
              <w:left w:val="single" w:color="auto" w:sz="4" w:space="0"/>
              <w:bottom w:val="single" w:color="auto" w:sz="4" w:space="0"/>
              <w:right w:val="single" w:color="auto" w:sz="4" w:space="0"/>
            </w:tcBorders>
            <w:vAlign w:val="center"/>
          </w:tcPr>
          <w:p w14:paraId="05C64376">
            <w:pPr>
              <w:pStyle w:val="56"/>
              <w:ind w:firstLine="0" w:firstLineChars="0"/>
              <w:jc w:val="center"/>
            </w:pPr>
            <w:r>
              <w:rPr>
                <w:rFonts w:hint="eastAsia"/>
              </w:rPr>
              <w:t>10</w:t>
            </w:r>
            <w:r>
              <w:rPr>
                <w:rFonts w:hint="eastAsia"/>
                <w:vertAlign w:val="superscript"/>
              </w:rPr>
              <w:t>4</w:t>
            </w:r>
            <w:r>
              <w:rPr>
                <w:rFonts w:hint="eastAsia"/>
              </w:rPr>
              <w:t>Nm</w:t>
            </w:r>
            <w:r>
              <w:rPr>
                <w:rFonts w:hint="eastAsia"/>
                <w:vertAlign w:val="superscript"/>
              </w:rPr>
              <w:t>3</w:t>
            </w:r>
          </w:p>
        </w:tc>
        <w:tc>
          <w:tcPr>
            <w:tcW w:w="1275" w:type="dxa"/>
            <w:tcBorders>
              <w:top w:val="single" w:color="auto" w:sz="4" w:space="0"/>
              <w:left w:val="single" w:color="auto" w:sz="4" w:space="0"/>
              <w:bottom w:val="single" w:color="auto" w:sz="4" w:space="0"/>
              <w:right w:val="single" w:color="auto" w:sz="4" w:space="0"/>
            </w:tcBorders>
            <w:vAlign w:val="center"/>
          </w:tcPr>
          <w:p w14:paraId="2216B320">
            <w:pPr>
              <w:pStyle w:val="56"/>
              <w:ind w:firstLine="0" w:firstLineChars="0"/>
              <w:jc w:val="center"/>
            </w:pPr>
            <w:r>
              <w:rPr>
                <w:rFonts w:hint="eastAsia"/>
              </w:rPr>
              <w:t>389.31</w:t>
            </w:r>
            <w:r>
              <w:rPr>
                <w:vertAlign w:val="superscript"/>
              </w:rPr>
              <w:t xml:space="preserve"> </w:t>
            </w:r>
            <w:r>
              <w:rPr>
                <w:rFonts w:hint="eastAsia"/>
                <w:vertAlign w:val="superscript"/>
              </w:rPr>
              <w:t>b</w:t>
            </w:r>
          </w:p>
        </w:tc>
        <w:tc>
          <w:tcPr>
            <w:tcW w:w="1418" w:type="dxa"/>
            <w:tcBorders>
              <w:top w:val="single" w:color="auto" w:sz="4" w:space="0"/>
              <w:left w:val="single" w:color="auto" w:sz="4" w:space="0"/>
              <w:bottom w:val="single" w:color="auto" w:sz="4" w:space="0"/>
              <w:right w:val="single" w:color="auto" w:sz="4" w:space="0"/>
            </w:tcBorders>
            <w:vAlign w:val="center"/>
          </w:tcPr>
          <w:p w14:paraId="5BE2A160">
            <w:pPr>
              <w:pStyle w:val="56"/>
              <w:ind w:firstLine="0" w:firstLineChars="0"/>
              <w:jc w:val="center"/>
            </w:pPr>
            <w:r>
              <w:rPr>
                <w:rFonts w:hint="eastAsia"/>
              </w:rPr>
              <w:t>15.3</w:t>
            </w:r>
            <w:r>
              <w:rPr>
                <w:vertAlign w:val="superscript"/>
              </w:rPr>
              <w:t xml:space="preserve"> </w:t>
            </w:r>
            <w:r>
              <w:rPr>
                <w:rFonts w:hint="eastAsia"/>
                <w:vertAlign w:val="superscript"/>
              </w:rPr>
              <w:t>a</w:t>
            </w:r>
          </w:p>
        </w:tc>
        <w:tc>
          <w:tcPr>
            <w:tcW w:w="1276" w:type="dxa"/>
            <w:tcBorders>
              <w:top w:val="single" w:color="auto" w:sz="4" w:space="0"/>
              <w:left w:val="single" w:color="auto" w:sz="4" w:space="0"/>
              <w:bottom w:val="single" w:color="auto" w:sz="4" w:space="0"/>
              <w:right w:val="single" w:color="auto" w:sz="4" w:space="0"/>
            </w:tcBorders>
            <w:vAlign w:val="center"/>
          </w:tcPr>
          <w:p w14:paraId="2055B60B">
            <w:pPr>
              <w:pStyle w:val="56"/>
              <w:ind w:firstLine="0" w:firstLineChars="0"/>
              <w:jc w:val="center"/>
            </w:pPr>
            <w:r>
              <w:rPr>
                <w:rFonts w:hint="eastAsia"/>
              </w:rPr>
              <w:t>99</w:t>
            </w:r>
            <w:r>
              <w:rPr>
                <w:vertAlign w:val="superscript"/>
              </w:rPr>
              <w:t xml:space="preserve"> </w:t>
            </w:r>
            <w:r>
              <w:rPr>
                <w:rFonts w:hint="eastAsia"/>
                <w:vertAlign w:val="superscript"/>
              </w:rPr>
              <w:t>a</w:t>
            </w:r>
          </w:p>
        </w:tc>
        <w:tc>
          <w:tcPr>
            <w:tcW w:w="1559" w:type="dxa"/>
            <w:tcBorders>
              <w:top w:val="single" w:color="auto" w:sz="4" w:space="0"/>
              <w:left w:val="single" w:color="auto" w:sz="4" w:space="0"/>
              <w:bottom w:val="single" w:color="auto" w:sz="4" w:space="0"/>
              <w:right w:val="single" w:color="auto" w:sz="8" w:space="0"/>
            </w:tcBorders>
            <w:vAlign w:val="center"/>
          </w:tcPr>
          <w:p w14:paraId="1335997E">
            <w:pPr>
              <w:pStyle w:val="56"/>
              <w:ind w:firstLine="0" w:firstLineChars="0"/>
              <w:jc w:val="center"/>
            </w:pPr>
            <w:r>
              <w:rPr>
                <w:rFonts w:hint="eastAsia"/>
              </w:rPr>
              <w:t>21.622</w:t>
            </w:r>
          </w:p>
        </w:tc>
      </w:tr>
      <w:tr w14:paraId="1D5D0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6" w:type="dxa"/>
            <w:gridSpan w:val="7"/>
            <w:tcBorders>
              <w:top w:val="single" w:color="auto" w:sz="4" w:space="0"/>
              <w:left w:val="single" w:color="auto" w:sz="8" w:space="0"/>
              <w:bottom w:val="single" w:color="auto" w:sz="8" w:space="0"/>
              <w:right w:val="single" w:color="auto" w:sz="8" w:space="0"/>
            </w:tcBorders>
            <w:vAlign w:val="center"/>
          </w:tcPr>
          <w:p w14:paraId="752A7A3C">
            <w:pPr>
              <w:pStyle w:val="179"/>
            </w:pPr>
            <w:r>
              <w:t>数据来源</w:t>
            </w:r>
          </w:p>
          <w:p w14:paraId="79A05504">
            <w:pPr>
              <w:pStyle w:val="56"/>
              <w:ind w:firstLine="420"/>
            </w:pPr>
            <w:r>
              <w:rPr>
                <w:rFonts w:hint="eastAsia"/>
                <w:vertAlign w:val="superscript"/>
              </w:rPr>
              <w:t>a</w:t>
            </w:r>
            <w:r>
              <w:rPr>
                <w:rFonts w:hint="eastAsia"/>
              </w:rPr>
              <w:t>《省级温室气体清单编制指南（试行）》</w:t>
            </w:r>
          </w:p>
          <w:p w14:paraId="16EA7929">
            <w:pPr>
              <w:pStyle w:val="56"/>
              <w:ind w:firstLine="420"/>
            </w:pPr>
            <w:r>
              <w:rPr>
                <w:rFonts w:hint="eastAsia"/>
                <w:vertAlign w:val="superscript"/>
              </w:rPr>
              <w:t>b</w:t>
            </w:r>
            <w:r>
              <w:rPr>
                <w:rFonts w:hint="eastAsia"/>
              </w:rPr>
              <w:t>《中国能源统计年鉴2023》</w:t>
            </w:r>
          </w:p>
          <w:p w14:paraId="3C36D35D">
            <w:pPr>
              <w:pStyle w:val="56"/>
              <w:ind w:firstLine="420"/>
            </w:pPr>
            <w:r>
              <w:rPr>
                <w:rFonts w:hint="eastAsia"/>
                <w:vertAlign w:val="superscript"/>
              </w:rPr>
              <w:t>c</w:t>
            </w:r>
            <w:r>
              <w:t xml:space="preserve"> </w:t>
            </w:r>
            <w:r>
              <w:rPr>
                <w:rFonts w:hint="eastAsia"/>
              </w:rPr>
              <w:t>GB/T 2589-2020《综合能耗计算通则》</w:t>
            </w:r>
          </w:p>
          <w:p w14:paraId="1E577CD7">
            <w:pPr>
              <w:pStyle w:val="56"/>
              <w:ind w:firstLine="420"/>
            </w:pPr>
            <w:r>
              <w:rPr>
                <w:rFonts w:hint="eastAsia"/>
              </w:rPr>
              <w:t>本表推荐值应随国家或行业主管部门最新发布数据及时更新。</w:t>
            </w:r>
          </w:p>
        </w:tc>
      </w:tr>
    </w:tbl>
    <w:p w14:paraId="63E4DC5C">
      <w:pPr>
        <w:pStyle w:val="78"/>
        <w:spacing w:before="120" w:after="120"/>
      </w:pPr>
      <w:bookmarkStart w:id="100" w:name="_Toc231215125"/>
      <w:r>
        <w:rPr>
          <w:rFonts w:hint="eastAsia"/>
        </w:rPr>
        <w:t>电力碳足迹因子</w:t>
      </w:r>
      <w:bookmarkEnd w:id="100"/>
    </w:p>
    <w:p w14:paraId="3B5FE703">
      <w:pPr>
        <w:pStyle w:val="77"/>
        <w:spacing w:before="120" w:after="120"/>
      </w:pPr>
      <w:r>
        <w:rPr>
          <w:rFonts w:hint="eastAsia"/>
        </w:rPr>
        <w:t>全国电力碳足迹因子</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3"/>
        <w:gridCol w:w="4636"/>
      </w:tblGrid>
      <w:tr w14:paraId="01BCE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3" w:type="dxa"/>
            <w:tcBorders>
              <w:top w:val="single" w:color="auto" w:sz="8" w:space="0"/>
              <w:left w:val="single" w:color="auto" w:sz="8" w:space="0"/>
              <w:bottom w:val="single" w:color="auto" w:sz="4" w:space="0"/>
              <w:right w:val="single" w:color="auto" w:sz="4" w:space="0"/>
            </w:tcBorders>
            <w:vAlign w:val="center"/>
          </w:tcPr>
          <w:p w14:paraId="0C131B57">
            <w:pPr>
              <w:pStyle w:val="56"/>
              <w:ind w:firstLine="0" w:firstLineChars="0"/>
              <w:jc w:val="center"/>
            </w:pPr>
            <w:r>
              <w:rPr>
                <w:rFonts w:hint="eastAsia"/>
              </w:rPr>
              <w:t>项目</w:t>
            </w:r>
          </w:p>
        </w:tc>
        <w:tc>
          <w:tcPr>
            <w:tcW w:w="4636" w:type="dxa"/>
            <w:tcBorders>
              <w:top w:val="single" w:color="auto" w:sz="8" w:space="0"/>
              <w:left w:val="single" w:color="auto" w:sz="4" w:space="0"/>
              <w:bottom w:val="single" w:color="auto" w:sz="4" w:space="0"/>
              <w:right w:val="single" w:color="auto" w:sz="8" w:space="0"/>
            </w:tcBorders>
            <w:vAlign w:val="center"/>
          </w:tcPr>
          <w:p w14:paraId="540C94FF">
            <w:pPr>
              <w:pStyle w:val="56"/>
              <w:ind w:firstLine="0" w:firstLineChars="0"/>
              <w:jc w:val="center"/>
            </w:pPr>
            <w:r>
              <w:rPr>
                <w:rFonts w:hint="eastAsia"/>
              </w:rPr>
              <w:t>碳足迹因子/ kgCO</w:t>
            </w:r>
            <w:r>
              <w:rPr>
                <w:rFonts w:hint="eastAsia"/>
                <w:vertAlign w:val="subscript"/>
              </w:rPr>
              <w:t>2</w:t>
            </w:r>
            <w:r>
              <w:rPr>
                <w:rFonts w:hint="eastAsia"/>
              </w:rPr>
              <w:t>e/kWh</w:t>
            </w:r>
          </w:p>
        </w:tc>
      </w:tr>
      <w:tr w14:paraId="64D35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3" w:type="dxa"/>
            <w:tcBorders>
              <w:top w:val="single" w:color="auto" w:sz="4" w:space="0"/>
              <w:left w:val="single" w:color="auto" w:sz="8" w:space="0"/>
              <w:bottom w:val="single" w:color="auto" w:sz="4" w:space="0"/>
              <w:right w:val="single" w:color="auto" w:sz="4" w:space="0"/>
            </w:tcBorders>
            <w:vAlign w:val="center"/>
          </w:tcPr>
          <w:p w14:paraId="4680435A">
            <w:pPr>
              <w:pStyle w:val="56"/>
              <w:ind w:firstLine="0" w:firstLineChars="0"/>
              <w:jc w:val="center"/>
            </w:pPr>
            <w:r>
              <w:rPr>
                <w:rFonts w:hint="eastAsia"/>
              </w:rPr>
              <w:t>全国</w:t>
            </w:r>
          </w:p>
        </w:tc>
        <w:tc>
          <w:tcPr>
            <w:tcW w:w="4636" w:type="dxa"/>
            <w:tcBorders>
              <w:top w:val="single" w:color="auto" w:sz="4" w:space="0"/>
              <w:left w:val="single" w:color="auto" w:sz="4" w:space="0"/>
              <w:bottom w:val="single" w:color="auto" w:sz="4" w:space="0"/>
              <w:right w:val="single" w:color="auto" w:sz="8" w:space="0"/>
            </w:tcBorders>
            <w:vAlign w:val="center"/>
          </w:tcPr>
          <w:p w14:paraId="41A4A824">
            <w:pPr>
              <w:pStyle w:val="56"/>
              <w:ind w:firstLine="0" w:firstLineChars="0"/>
              <w:jc w:val="center"/>
            </w:pPr>
            <w:r>
              <w:rPr>
                <w:rFonts w:hint="eastAsia"/>
              </w:rPr>
              <w:t>0.5777</w:t>
            </w:r>
          </w:p>
        </w:tc>
      </w:tr>
      <w:tr w14:paraId="5E7FB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3" w:type="dxa"/>
            <w:tcBorders>
              <w:top w:val="single" w:color="auto" w:sz="4" w:space="0"/>
              <w:left w:val="single" w:color="auto" w:sz="8" w:space="0"/>
              <w:bottom w:val="single" w:color="auto" w:sz="4" w:space="0"/>
              <w:right w:val="single" w:color="auto" w:sz="4" w:space="0"/>
            </w:tcBorders>
            <w:vAlign w:val="center"/>
          </w:tcPr>
          <w:p w14:paraId="1A1AA29D">
            <w:pPr>
              <w:pStyle w:val="56"/>
              <w:ind w:firstLine="0" w:firstLineChars="0"/>
              <w:jc w:val="center"/>
            </w:pPr>
            <w:r>
              <w:rPr>
                <w:rFonts w:hint="eastAsia"/>
              </w:rPr>
              <w:t>燃煤发电</w:t>
            </w:r>
          </w:p>
        </w:tc>
        <w:tc>
          <w:tcPr>
            <w:tcW w:w="4636" w:type="dxa"/>
            <w:tcBorders>
              <w:top w:val="single" w:color="auto" w:sz="4" w:space="0"/>
              <w:left w:val="single" w:color="auto" w:sz="4" w:space="0"/>
              <w:bottom w:val="single" w:color="auto" w:sz="4" w:space="0"/>
              <w:right w:val="single" w:color="auto" w:sz="8" w:space="0"/>
            </w:tcBorders>
            <w:vAlign w:val="center"/>
          </w:tcPr>
          <w:p w14:paraId="0ADD151D">
            <w:pPr>
              <w:pStyle w:val="56"/>
              <w:ind w:firstLine="0" w:firstLineChars="0"/>
              <w:jc w:val="center"/>
            </w:pPr>
            <w:r>
              <w:rPr>
                <w:rFonts w:hint="eastAsia"/>
              </w:rPr>
              <w:t>0.9240</w:t>
            </w:r>
          </w:p>
        </w:tc>
      </w:tr>
      <w:tr w14:paraId="40F97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3" w:type="dxa"/>
            <w:tcBorders>
              <w:top w:val="single" w:color="auto" w:sz="4" w:space="0"/>
              <w:left w:val="single" w:color="auto" w:sz="8" w:space="0"/>
              <w:bottom w:val="single" w:color="auto" w:sz="4" w:space="0"/>
              <w:right w:val="single" w:color="auto" w:sz="4" w:space="0"/>
            </w:tcBorders>
            <w:vAlign w:val="center"/>
          </w:tcPr>
          <w:p w14:paraId="647EADDA">
            <w:pPr>
              <w:pStyle w:val="56"/>
              <w:ind w:firstLine="0" w:firstLineChars="0"/>
              <w:jc w:val="center"/>
            </w:pPr>
            <w:r>
              <w:rPr>
                <w:rFonts w:hint="eastAsia"/>
              </w:rPr>
              <w:t>燃气发电</w:t>
            </w:r>
          </w:p>
        </w:tc>
        <w:tc>
          <w:tcPr>
            <w:tcW w:w="4636" w:type="dxa"/>
            <w:tcBorders>
              <w:top w:val="single" w:color="auto" w:sz="4" w:space="0"/>
              <w:left w:val="single" w:color="auto" w:sz="4" w:space="0"/>
              <w:bottom w:val="single" w:color="auto" w:sz="4" w:space="0"/>
              <w:right w:val="single" w:color="auto" w:sz="8" w:space="0"/>
            </w:tcBorders>
            <w:vAlign w:val="center"/>
          </w:tcPr>
          <w:p w14:paraId="6AE07BC7">
            <w:pPr>
              <w:pStyle w:val="56"/>
              <w:ind w:firstLine="0" w:firstLineChars="0"/>
              <w:jc w:val="center"/>
            </w:pPr>
            <w:r>
              <w:rPr>
                <w:rFonts w:hint="eastAsia"/>
              </w:rPr>
              <w:t>0.4503</w:t>
            </w:r>
          </w:p>
        </w:tc>
      </w:tr>
      <w:tr w14:paraId="7AAB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3" w:type="dxa"/>
            <w:tcBorders>
              <w:top w:val="single" w:color="auto" w:sz="4" w:space="0"/>
              <w:left w:val="single" w:color="auto" w:sz="8" w:space="0"/>
              <w:bottom w:val="single" w:color="auto" w:sz="4" w:space="0"/>
              <w:right w:val="single" w:color="auto" w:sz="4" w:space="0"/>
            </w:tcBorders>
            <w:vAlign w:val="center"/>
          </w:tcPr>
          <w:p w14:paraId="3E543D9C">
            <w:pPr>
              <w:pStyle w:val="56"/>
              <w:ind w:firstLine="0" w:firstLineChars="0"/>
              <w:jc w:val="center"/>
            </w:pPr>
            <w:r>
              <w:rPr>
                <w:rFonts w:hint="eastAsia"/>
              </w:rPr>
              <w:t>水力发电</w:t>
            </w:r>
          </w:p>
        </w:tc>
        <w:tc>
          <w:tcPr>
            <w:tcW w:w="4636" w:type="dxa"/>
            <w:tcBorders>
              <w:top w:val="single" w:color="auto" w:sz="4" w:space="0"/>
              <w:left w:val="single" w:color="auto" w:sz="4" w:space="0"/>
              <w:bottom w:val="single" w:color="auto" w:sz="4" w:space="0"/>
              <w:right w:val="single" w:color="auto" w:sz="8" w:space="0"/>
            </w:tcBorders>
            <w:vAlign w:val="center"/>
          </w:tcPr>
          <w:p w14:paraId="40CC5A25">
            <w:pPr>
              <w:pStyle w:val="56"/>
              <w:ind w:firstLine="0" w:firstLineChars="0"/>
              <w:jc w:val="center"/>
            </w:pPr>
            <w:r>
              <w:rPr>
                <w:rFonts w:hint="eastAsia"/>
              </w:rPr>
              <w:t>0.0141</w:t>
            </w:r>
          </w:p>
        </w:tc>
      </w:tr>
      <w:tr w14:paraId="00921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3" w:type="dxa"/>
            <w:tcBorders>
              <w:top w:val="single" w:color="auto" w:sz="4" w:space="0"/>
              <w:left w:val="single" w:color="auto" w:sz="8" w:space="0"/>
              <w:bottom w:val="single" w:color="auto" w:sz="4" w:space="0"/>
              <w:right w:val="single" w:color="auto" w:sz="4" w:space="0"/>
            </w:tcBorders>
            <w:vAlign w:val="center"/>
          </w:tcPr>
          <w:p w14:paraId="1121B166">
            <w:pPr>
              <w:pStyle w:val="56"/>
              <w:ind w:firstLine="0" w:firstLineChars="0"/>
              <w:jc w:val="center"/>
            </w:pPr>
            <w:r>
              <w:rPr>
                <w:rFonts w:hint="eastAsia"/>
              </w:rPr>
              <w:t>核能发电</w:t>
            </w:r>
          </w:p>
        </w:tc>
        <w:tc>
          <w:tcPr>
            <w:tcW w:w="4636" w:type="dxa"/>
            <w:tcBorders>
              <w:top w:val="single" w:color="auto" w:sz="4" w:space="0"/>
              <w:left w:val="single" w:color="auto" w:sz="4" w:space="0"/>
              <w:bottom w:val="single" w:color="auto" w:sz="4" w:space="0"/>
              <w:right w:val="single" w:color="auto" w:sz="8" w:space="0"/>
            </w:tcBorders>
            <w:vAlign w:val="center"/>
          </w:tcPr>
          <w:p w14:paraId="549F5BD0">
            <w:pPr>
              <w:pStyle w:val="56"/>
              <w:ind w:firstLine="0" w:firstLineChars="0"/>
              <w:jc w:val="center"/>
            </w:pPr>
            <w:r>
              <w:rPr>
                <w:rFonts w:hint="eastAsia"/>
              </w:rPr>
              <w:t>0.0065</w:t>
            </w:r>
          </w:p>
        </w:tc>
      </w:tr>
      <w:tr w14:paraId="53426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3" w:type="dxa"/>
            <w:tcBorders>
              <w:top w:val="single" w:color="auto" w:sz="4" w:space="0"/>
              <w:left w:val="single" w:color="auto" w:sz="8" w:space="0"/>
              <w:bottom w:val="single" w:color="auto" w:sz="4" w:space="0"/>
              <w:right w:val="single" w:color="auto" w:sz="4" w:space="0"/>
            </w:tcBorders>
            <w:vAlign w:val="center"/>
          </w:tcPr>
          <w:p w14:paraId="7FC39DF9">
            <w:pPr>
              <w:pStyle w:val="56"/>
              <w:ind w:firstLine="0" w:firstLineChars="0"/>
              <w:jc w:val="center"/>
            </w:pPr>
            <w:r>
              <w:rPr>
                <w:rFonts w:hint="eastAsia"/>
              </w:rPr>
              <w:t>风力发电</w:t>
            </w:r>
          </w:p>
        </w:tc>
        <w:tc>
          <w:tcPr>
            <w:tcW w:w="4636" w:type="dxa"/>
            <w:tcBorders>
              <w:top w:val="single" w:color="auto" w:sz="4" w:space="0"/>
              <w:left w:val="single" w:color="auto" w:sz="4" w:space="0"/>
              <w:bottom w:val="single" w:color="auto" w:sz="4" w:space="0"/>
              <w:right w:val="single" w:color="auto" w:sz="8" w:space="0"/>
            </w:tcBorders>
            <w:vAlign w:val="center"/>
          </w:tcPr>
          <w:p w14:paraId="0E905CBC">
            <w:pPr>
              <w:pStyle w:val="56"/>
              <w:ind w:firstLine="0" w:firstLineChars="0"/>
              <w:jc w:val="center"/>
            </w:pPr>
            <w:r>
              <w:rPr>
                <w:rFonts w:hint="eastAsia"/>
              </w:rPr>
              <w:t>0.0324</w:t>
            </w:r>
          </w:p>
        </w:tc>
      </w:tr>
      <w:tr w14:paraId="058B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3" w:type="dxa"/>
            <w:tcBorders>
              <w:top w:val="single" w:color="auto" w:sz="4" w:space="0"/>
              <w:left w:val="single" w:color="auto" w:sz="8" w:space="0"/>
              <w:bottom w:val="single" w:color="auto" w:sz="4" w:space="0"/>
              <w:right w:val="single" w:color="auto" w:sz="4" w:space="0"/>
            </w:tcBorders>
            <w:vAlign w:val="center"/>
          </w:tcPr>
          <w:p w14:paraId="3475592B">
            <w:pPr>
              <w:pStyle w:val="56"/>
              <w:ind w:firstLine="0" w:firstLineChars="0"/>
              <w:jc w:val="center"/>
            </w:pPr>
            <w:r>
              <w:rPr>
                <w:rFonts w:hint="eastAsia"/>
              </w:rPr>
              <w:t>光伏发电</w:t>
            </w:r>
          </w:p>
        </w:tc>
        <w:tc>
          <w:tcPr>
            <w:tcW w:w="4636" w:type="dxa"/>
            <w:tcBorders>
              <w:top w:val="single" w:color="auto" w:sz="4" w:space="0"/>
              <w:left w:val="single" w:color="auto" w:sz="4" w:space="0"/>
              <w:bottom w:val="single" w:color="auto" w:sz="4" w:space="0"/>
              <w:right w:val="single" w:color="auto" w:sz="8" w:space="0"/>
            </w:tcBorders>
            <w:vAlign w:val="center"/>
          </w:tcPr>
          <w:p w14:paraId="14EA8F61">
            <w:pPr>
              <w:pStyle w:val="56"/>
              <w:ind w:firstLine="0" w:firstLineChars="0"/>
              <w:jc w:val="center"/>
            </w:pPr>
            <w:r>
              <w:rPr>
                <w:rFonts w:hint="eastAsia"/>
              </w:rPr>
              <w:t>0.0520</w:t>
            </w:r>
          </w:p>
        </w:tc>
      </w:tr>
      <w:tr w14:paraId="0CF0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3" w:type="dxa"/>
            <w:tcBorders>
              <w:top w:val="single" w:color="auto" w:sz="4" w:space="0"/>
              <w:left w:val="single" w:color="auto" w:sz="8" w:space="0"/>
              <w:bottom w:val="single" w:color="auto" w:sz="4" w:space="0"/>
              <w:right w:val="single" w:color="auto" w:sz="4" w:space="0"/>
            </w:tcBorders>
            <w:vAlign w:val="center"/>
          </w:tcPr>
          <w:p w14:paraId="49D75873">
            <w:pPr>
              <w:pStyle w:val="56"/>
              <w:ind w:firstLine="0" w:firstLineChars="0"/>
              <w:jc w:val="center"/>
            </w:pPr>
            <w:r>
              <w:rPr>
                <w:rFonts w:hint="eastAsia"/>
              </w:rPr>
              <w:t>光热发电</w:t>
            </w:r>
          </w:p>
        </w:tc>
        <w:tc>
          <w:tcPr>
            <w:tcW w:w="4636" w:type="dxa"/>
            <w:tcBorders>
              <w:top w:val="single" w:color="auto" w:sz="4" w:space="0"/>
              <w:left w:val="single" w:color="auto" w:sz="4" w:space="0"/>
              <w:bottom w:val="single" w:color="auto" w:sz="4" w:space="0"/>
              <w:right w:val="single" w:color="auto" w:sz="8" w:space="0"/>
            </w:tcBorders>
            <w:vAlign w:val="center"/>
          </w:tcPr>
          <w:p w14:paraId="65691FAC">
            <w:pPr>
              <w:pStyle w:val="56"/>
              <w:ind w:firstLine="0" w:firstLineChars="0"/>
              <w:jc w:val="center"/>
            </w:pPr>
            <w:r>
              <w:rPr>
                <w:rFonts w:hint="eastAsia"/>
              </w:rPr>
              <w:t>0.0312</w:t>
            </w:r>
          </w:p>
        </w:tc>
      </w:tr>
      <w:tr w14:paraId="3FBDB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3" w:type="dxa"/>
            <w:tcBorders>
              <w:top w:val="single" w:color="auto" w:sz="4" w:space="0"/>
              <w:left w:val="single" w:color="auto" w:sz="8" w:space="0"/>
              <w:bottom w:val="single" w:color="auto" w:sz="4" w:space="0"/>
              <w:right w:val="single" w:color="auto" w:sz="4" w:space="0"/>
            </w:tcBorders>
            <w:vAlign w:val="center"/>
          </w:tcPr>
          <w:p w14:paraId="13899395">
            <w:pPr>
              <w:pStyle w:val="56"/>
              <w:ind w:firstLine="0" w:firstLineChars="0"/>
              <w:jc w:val="center"/>
            </w:pPr>
            <w:r>
              <w:rPr>
                <w:rFonts w:hint="eastAsia"/>
              </w:rPr>
              <w:t>生物质发电</w:t>
            </w:r>
          </w:p>
        </w:tc>
        <w:tc>
          <w:tcPr>
            <w:tcW w:w="4636" w:type="dxa"/>
            <w:tcBorders>
              <w:top w:val="single" w:color="auto" w:sz="4" w:space="0"/>
              <w:left w:val="single" w:color="auto" w:sz="4" w:space="0"/>
              <w:bottom w:val="single" w:color="auto" w:sz="4" w:space="0"/>
              <w:right w:val="single" w:color="auto" w:sz="8" w:space="0"/>
            </w:tcBorders>
            <w:vAlign w:val="center"/>
          </w:tcPr>
          <w:p w14:paraId="1FEF708E">
            <w:pPr>
              <w:pStyle w:val="56"/>
              <w:ind w:firstLine="0" w:firstLineChars="0"/>
              <w:jc w:val="center"/>
            </w:pPr>
            <w:r>
              <w:rPr>
                <w:rFonts w:hint="eastAsia"/>
              </w:rPr>
              <w:t>0.0404</w:t>
            </w:r>
          </w:p>
        </w:tc>
      </w:tr>
      <w:tr w14:paraId="5D83D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9" w:type="dxa"/>
            <w:gridSpan w:val="2"/>
            <w:tcBorders>
              <w:top w:val="single" w:color="auto" w:sz="4" w:space="0"/>
              <w:left w:val="single" w:color="auto" w:sz="8" w:space="0"/>
              <w:bottom w:val="single" w:color="auto" w:sz="8" w:space="0"/>
              <w:right w:val="single" w:color="auto" w:sz="8" w:space="0"/>
            </w:tcBorders>
            <w:vAlign w:val="center"/>
          </w:tcPr>
          <w:p w14:paraId="6D4694BA">
            <w:pPr>
              <w:pStyle w:val="179"/>
            </w:pPr>
            <w:r>
              <w:rPr>
                <w:rFonts w:hint="eastAsia"/>
              </w:rPr>
              <w:t>数据来源为生态环境部。</w:t>
            </w:r>
          </w:p>
          <w:p w14:paraId="47C4A1E6">
            <w:pPr>
              <w:pStyle w:val="56"/>
              <w:ind w:firstLine="420"/>
            </w:pPr>
            <w:r>
              <w:rPr>
                <w:rFonts w:hint="eastAsia"/>
              </w:rPr>
              <w:t>本表推荐值应随国家或行业主管部门最新发布数据及时更新。</w:t>
            </w:r>
          </w:p>
        </w:tc>
      </w:tr>
    </w:tbl>
    <w:p w14:paraId="5FCAEDC2">
      <w:pPr>
        <w:pStyle w:val="78"/>
        <w:spacing w:before="120" w:after="120"/>
      </w:pPr>
      <w:bookmarkStart w:id="101" w:name="_Toc231215126"/>
      <w:r>
        <w:rPr>
          <w:rFonts w:hint="eastAsia"/>
        </w:rPr>
        <w:t>热力碳排放因子</w:t>
      </w:r>
      <w:bookmarkEnd w:id="101"/>
    </w:p>
    <w:p w14:paraId="71DD167B">
      <w:pPr>
        <w:pStyle w:val="77"/>
        <w:spacing w:before="120" w:after="120"/>
      </w:pPr>
      <w:r>
        <w:rPr>
          <w:rFonts w:hint="eastAsia"/>
        </w:rPr>
        <w:t>热力碳足迹因子</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3"/>
        <w:gridCol w:w="4636"/>
      </w:tblGrid>
      <w:tr w14:paraId="3DFD9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3" w:type="dxa"/>
            <w:tcBorders>
              <w:top w:val="single" w:color="auto" w:sz="8" w:space="0"/>
              <w:left w:val="single" w:color="auto" w:sz="8" w:space="0"/>
              <w:bottom w:val="single" w:color="auto" w:sz="4" w:space="0"/>
              <w:right w:val="single" w:color="auto" w:sz="4" w:space="0"/>
            </w:tcBorders>
            <w:vAlign w:val="center"/>
          </w:tcPr>
          <w:p w14:paraId="4079C006">
            <w:pPr>
              <w:pStyle w:val="56"/>
              <w:ind w:firstLine="0" w:firstLineChars="0"/>
              <w:jc w:val="center"/>
            </w:pPr>
            <w:r>
              <w:rPr>
                <w:rFonts w:hint="eastAsia"/>
              </w:rPr>
              <w:t>项目</w:t>
            </w:r>
          </w:p>
        </w:tc>
        <w:tc>
          <w:tcPr>
            <w:tcW w:w="4636" w:type="dxa"/>
            <w:tcBorders>
              <w:top w:val="single" w:color="auto" w:sz="8" w:space="0"/>
              <w:left w:val="single" w:color="auto" w:sz="4" w:space="0"/>
              <w:bottom w:val="single" w:color="auto" w:sz="4" w:space="0"/>
              <w:right w:val="single" w:color="auto" w:sz="8" w:space="0"/>
            </w:tcBorders>
            <w:vAlign w:val="center"/>
          </w:tcPr>
          <w:p w14:paraId="19C88E08">
            <w:pPr>
              <w:pStyle w:val="56"/>
              <w:ind w:firstLine="420"/>
              <w:jc w:val="center"/>
            </w:pPr>
            <w:r>
              <w:rPr>
                <w:rFonts w:hint="eastAsia"/>
              </w:rPr>
              <w:t>碳排放因子/ kgCO</w:t>
            </w:r>
            <w:r>
              <w:rPr>
                <w:rFonts w:hint="eastAsia"/>
                <w:vertAlign w:val="subscript"/>
              </w:rPr>
              <w:t>2</w:t>
            </w:r>
            <w:r>
              <w:rPr>
                <w:rFonts w:hint="eastAsia"/>
              </w:rPr>
              <w:t>/GJ</w:t>
            </w:r>
          </w:p>
        </w:tc>
      </w:tr>
      <w:tr w14:paraId="2B24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3" w:type="dxa"/>
            <w:tcBorders>
              <w:top w:val="single" w:color="auto" w:sz="4" w:space="0"/>
              <w:left w:val="single" w:color="auto" w:sz="8" w:space="0"/>
              <w:bottom w:val="single" w:color="auto" w:sz="4" w:space="0"/>
              <w:right w:val="single" w:color="auto" w:sz="4" w:space="0"/>
            </w:tcBorders>
            <w:vAlign w:val="center"/>
          </w:tcPr>
          <w:p w14:paraId="44EF1B5B">
            <w:pPr>
              <w:pStyle w:val="56"/>
              <w:ind w:firstLine="0" w:firstLineChars="0"/>
              <w:jc w:val="center"/>
            </w:pPr>
            <w:r>
              <w:rPr>
                <w:rFonts w:hint="eastAsia"/>
              </w:rPr>
              <w:t>热力</w:t>
            </w:r>
          </w:p>
        </w:tc>
        <w:tc>
          <w:tcPr>
            <w:tcW w:w="4636" w:type="dxa"/>
            <w:tcBorders>
              <w:top w:val="single" w:color="auto" w:sz="4" w:space="0"/>
              <w:left w:val="single" w:color="auto" w:sz="4" w:space="0"/>
              <w:bottom w:val="single" w:color="auto" w:sz="4" w:space="0"/>
              <w:right w:val="single" w:color="auto" w:sz="8" w:space="0"/>
            </w:tcBorders>
            <w:vAlign w:val="center"/>
          </w:tcPr>
          <w:p w14:paraId="23F9399E">
            <w:pPr>
              <w:pStyle w:val="56"/>
              <w:ind w:firstLine="420"/>
              <w:jc w:val="center"/>
            </w:pPr>
            <w:r>
              <w:rPr>
                <w:rFonts w:hint="eastAsia"/>
              </w:rPr>
              <w:t>0.110</w:t>
            </w:r>
          </w:p>
        </w:tc>
      </w:tr>
      <w:tr w14:paraId="44294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9" w:type="dxa"/>
            <w:gridSpan w:val="2"/>
            <w:tcBorders>
              <w:top w:val="single" w:color="auto" w:sz="8" w:space="0"/>
              <w:left w:val="single" w:color="auto" w:sz="8" w:space="0"/>
              <w:bottom w:val="single" w:color="auto" w:sz="8" w:space="0"/>
              <w:right w:val="single" w:color="auto" w:sz="8" w:space="0"/>
            </w:tcBorders>
            <w:vAlign w:val="center"/>
          </w:tcPr>
          <w:p w14:paraId="3F4138B5">
            <w:pPr>
              <w:pStyle w:val="179"/>
            </w:pPr>
            <w:r>
              <w:rPr>
                <w:rFonts w:hint="eastAsia"/>
              </w:rPr>
              <w:t>本表推荐值应随国家或行业主管部门最新发布数据及时更新。</w:t>
            </w:r>
          </w:p>
        </w:tc>
      </w:tr>
    </w:tbl>
    <w:p w14:paraId="3C3C4F6A">
      <w:pPr>
        <w:pStyle w:val="56"/>
        <w:ind w:firstLine="420"/>
      </w:pPr>
    </w:p>
    <w:p w14:paraId="4B1A1DAE">
      <w:pPr>
        <w:pStyle w:val="198"/>
        <w:rPr>
          <w:rFonts w:hint="eastAsia"/>
          <w:vanish w:val="0"/>
        </w:rPr>
      </w:pPr>
    </w:p>
    <w:p w14:paraId="127F78FC">
      <w:pPr>
        <w:pStyle w:val="199"/>
        <w:rPr>
          <w:vanish w:val="0"/>
        </w:rPr>
      </w:pPr>
    </w:p>
    <w:p w14:paraId="6EFEC8D4">
      <w:pPr>
        <w:pStyle w:val="76"/>
        <w:spacing w:after="120"/>
      </w:pPr>
      <w:r>
        <w:br w:type="textWrapping"/>
      </w:r>
      <w:bookmarkStart w:id="102" w:name="_Toc231215127"/>
      <w:r>
        <w:rPr>
          <w:rFonts w:hint="eastAsia"/>
        </w:rPr>
        <w:t>（资料性）</w:t>
      </w:r>
      <w:r>
        <w:br w:type="textWrapping"/>
      </w:r>
      <w:r>
        <w:rPr>
          <w:rFonts w:hint="eastAsia"/>
        </w:rPr>
        <w:t>数据质量评估</w:t>
      </w:r>
      <w:bookmarkEnd w:id="102"/>
    </w:p>
    <w:p w14:paraId="225A593C">
      <w:pPr>
        <w:pStyle w:val="56"/>
        <w:ind w:firstLine="420"/>
      </w:pPr>
      <w:r>
        <w:rPr>
          <w:rFonts w:hint="eastAsia"/>
        </w:rPr>
        <w:t>数据质量评估见表D.1。</w:t>
      </w:r>
    </w:p>
    <w:p w14:paraId="4DABECED">
      <w:pPr>
        <w:pStyle w:val="77"/>
        <w:spacing w:before="120" w:after="120"/>
      </w:pPr>
      <w:r>
        <w:rPr>
          <w:rFonts w:hint="eastAsia"/>
        </w:rPr>
        <w:t>数据质量评价表</w:t>
      </w:r>
    </w:p>
    <w:tbl>
      <w:tblPr>
        <w:tblStyle w:val="27"/>
        <w:tblW w:w="93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418"/>
        <w:gridCol w:w="1701"/>
        <w:gridCol w:w="1984"/>
        <w:gridCol w:w="1559"/>
        <w:gridCol w:w="1985"/>
      </w:tblGrid>
      <w:tr w14:paraId="00B06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Merge w:val="restart"/>
            <w:tcBorders>
              <w:top w:val="single" w:color="auto" w:sz="8" w:space="0"/>
              <w:left w:val="single" w:color="auto" w:sz="8" w:space="0"/>
              <w:bottom w:val="single" w:color="auto" w:sz="4" w:space="0"/>
              <w:right w:val="single" w:color="auto" w:sz="4" w:space="0"/>
            </w:tcBorders>
            <w:vAlign w:val="center"/>
          </w:tcPr>
          <w:p w14:paraId="7C4977E3">
            <w:pPr>
              <w:pStyle w:val="56"/>
              <w:ind w:firstLine="0" w:firstLineChars="0"/>
              <w:jc w:val="center"/>
            </w:pPr>
            <w:r>
              <w:rPr>
                <w:rFonts w:hint="eastAsia"/>
              </w:rPr>
              <w:t>评分</w:t>
            </w:r>
          </w:p>
        </w:tc>
        <w:tc>
          <w:tcPr>
            <w:tcW w:w="3119" w:type="dxa"/>
            <w:gridSpan w:val="2"/>
            <w:tcBorders>
              <w:top w:val="single" w:color="auto" w:sz="8" w:space="0"/>
              <w:left w:val="single" w:color="auto" w:sz="4" w:space="0"/>
              <w:bottom w:val="single" w:color="auto" w:sz="4" w:space="0"/>
              <w:right w:val="single" w:color="auto" w:sz="4" w:space="0"/>
            </w:tcBorders>
            <w:vAlign w:val="center"/>
          </w:tcPr>
          <w:p w14:paraId="29893E2C">
            <w:pPr>
              <w:pStyle w:val="56"/>
              <w:ind w:firstLine="0" w:firstLineChars="0"/>
              <w:jc w:val="center"/>
            </w:pPr>
            <w:r>
              <w:rPr>
                <w:rFonts w:hint="eastAsia"/>
              </w:rPr>
              <w:t>活动数据</w:t>
            </w:r>
          </w:p>
        </w:tc>
        <w:tc>
          <w:tcPr>
            <w:tcW w:w="5528" w:type="dxa"/>
            <w:gridSpan w:val="3"/>
            <w:tcBorders>
              <w:top w:val="single" w:color="auto" w:sz="8" w:space="0"/>
              <w:left w:val="single" w:color="auto" w:sz="4" w:space="0"/>
              <w:bottom w:val="single" w:color="auto" w:sz="4" w:space="0"/>
              <w:right w:val="single" w:color="auto" w:sz="8" w:space="0"/>
            </w:tcBorders>
            <w:vAlign w:val="center"/>
          </w:tcPr>
          <w:p w14:paraId="1122D775">
            <w:pPr>
              <w:pStyle w:val="56"/>
              <w:ind w:firstLine="0" w:firstLineChars="0"/>
              <w:jc w:val="center"/>
            </w:pPr>
            <w:r>
              <w:rPr>
                <w:rFonts w:hint="eastAsia"/>
              </w:rPr>
              <w:t>碳足迹因子</w:t>
            </w:r>
          </w:p>
        </w:tc>
      </w:tr>
      <w:tr w14:paraId="482C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8" w:space="0"/>
              <w:left w:val="single" w:color="auto" w:sz="8" w:space="0"/>
              <w:bottom w:val="single" w:color="auto" w:sz="4" w:space="0"/>
              <w:right w:val="single" w:color="auto" w:sz="4" w:space="0"/>
            </w:tcBorders>
            <w:vAlign w:val="center"/>
          </w:tcPr>
          <w:p w14:paraId="09DA37C7">
            <w:pPr>
              <w:pStyle w:val="56"/>
              <w:ind w:firstLine="420"/>
              <w:jc w:val="center"/>
            </w:pPr>
          </w:p>
        </w:tc>
        <w:tc>
          <w:tcPr>
            <w:tcW w:w="1418" w:type="dxa"/>
            <w:tcBorders>
              <w:top w:val="single" w:color="auto" w:sz="4" w:space="0"/>
              <w:left w:val="single" w:color="auto" w:sz="4" w:space="0"/>
              <w:bottom w:val="single" w:color="auto" w:sz="4" w:space="0"/>
              <w:right w:val="single" w:color="auto" w:sz="4" w:space="0"/>
            </w:tcBorders>
            <w:vAlign w:val="center"/>
          </w:tcPr>
          <w:p w14:paraId="139A9321">
            <w:pPr>
              <w:pStyle w:val="56"/>
              <w:ind w:firstLine="0" w:firstLineChars="0"/>
              <w:jc w:val="center"/>
            </w:pPr>
            <w:r>
              <w:rPr>
                <w:rFonts w:hint="eastAsia"/>
              </w:rPr>
              <w:t>数据可靠性</w:t>
            </w:r>
          </w:p>
        </w:tc>
        <w:tc>
          <w:tcPr>
            <w:tcW w:w="1701" w:type="dxa"/>
            <w:tcBorders>
              <w:top w:val="single" w:color="auto" w:sz="4" w:space="0"/>
              <w:left w:val="single" w:color="auto" w:sz="4" w:space="0"/>
              <w:bottom w:val="single" w:color="auto" w:sz="4" w:space="0"/>
              <w:right w:val="single" w:color="auto" w:sz="4" w:space="0"/>
            </w:tcBorders>
            <w:vAlign w:val="center"/>
          </w:tcPr>
          <w:p w14:paraId="2C0B230E">
            <w:pPr>
              <w:pStyle w:val="56"/>
              <w:ind w:firstLine="0" w:firstLineChars="0"/>
              <w:jc w:val="center"/>
            </w:pPr>
            <w:r>
              <w:rPr>
                <w:rFonts w:hint="eastAsia"/>
              </w:rPr>
              <w:t>时间代表性</w:t>
            </w:r>
          </w:p>
        </w:tc>
        <w:tc>
          <w:tcPr>
            <w:tcW w:w="1984" w:type="dxa"/>
            <w:tcBorders>
              <w:top w:val="single" w:color="auto" w:sz="4" w:space="0"/>
              <w:left w:val="single" w:color="auto" w:sz="4" w:space="0"/>
              <w:bottom w:val="single" w:color="auto" w:sz="4" w:space="0"/>
              <w:right w:val="single" w:color="auto" w:sz="4" w:space="0"/>
            </w:tcBorders>
            <w:vAlign w:val="center"/>
          </w:tcPr>
          <w:p w14:paraId="424CABE9">
            <w:pPr>
              <w:pStyle w:val="56"/>
              <w:ind w:firstLine="0" w:firstLineChars="0"/>
              <w:jc w:val="center"/>
            </w:pPr>
            <w:r>
              <w:rPr>
                <w:rFonts w:hint="eastAsia"/>
              </w:rPr>
              <w:t>技术代表性</w:t>
            </w:r>
          </w:p>
        </w:tc>
        <w:tc>
          <w:tcPr>
            <w:tcW w:w="1559" w:type="dxa"/>
            <w:tcBorders>
              <w:top w:val="single" w:color="auto" w:sz="4" w:space="0"/>
              <w:left w:val="single" w:color="auto" w:sz="4" w:space="0"/>
              <w:bottom w:val="single" w:color="auto" w:sz="4" w:space="0"/>
              <w:right w:val="single" w:color="auto" w:sz="4" w:space="0"/>
            </w:tcBorders>
            <w:vAlign w:val="center"/>
          </w:tcPr>
          <w:p w14:paraId="126BE758">
            <w:pPr>
              <w:pStyle w:val="56"/>
              <w:ind w:firstLine="0" w:firstLineChars="0"/>
              <w:jc w:val="center"/>
            </w:pPr>
            <w:r>
              <w:rPr>
                <w:rFonts w:hint="eastAsia"/>
              </w:rPr>
              <w:t>地理代表性</w:t>
            </w:r>
          </w:p>
        </w:tc>
        <w:tc>
          <w:tcPr>
            <w:tcW w:w="1985" w:type="dxa"/>
            <w:tcBorders>
              <w:top w:val="single" w:color="auto" w:sz="4" w:space="0"/>
              <w:left w:val="single" w:color="auto" w:sz="4" w:space="0"/>
              <w:bottom w:val="single" w:color="auto" w:sz="4" w:space="0"/>
              <w:right w:val="single" w:color="auto" w:sz="8" w:space="0"/>
            </w:tcBorders>
            <w:vAlign w:val="center"/>
          </w:tcPr>
          <w:p w14:paraId="5096E718">
            <w:pPr>
              <w:pStyle w:val="56"/>
              <w:ind w:firstLine="0" w:firstLineChars="0"/>
              <w:jc w:val="center"/>
            </w:pPr>
            <w:r>
              <w:rPr>
                <w:rFonts w:hint="eastAsia"/>
              </w:rPr>
              <w:t>时间代表性</w:t>
            </w:r>
          </w:p>
        </w:tc>
      </w:tr>
      <w:tr w14:paraId="4805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8" w:space="0"/>
              <w:bottom w:val="single" w:color="auto" w:sz="4" w:space="0"/>
              <w:right w:val="single" w:color="auto" w:sz="4" w:space="0"/>
            </w:tcBorders>
            <w:vAlign w:val="center"/>
          </w:tcPr>
          <w:p w14:paraId="6C32E468">
            <w:pPr>
              <w:pStyle w:val="56"/>
              <w:ind w:firstLine="0" w:firstLineChars="0"/>
              <w:jc w:val="center"/>
            </w:pPr>
            <w:r>
              <w:rPr>
                <w:rFonts w:hint="eastAsia"/>
              </w:rPr>
              <w:t>5</w:t>
            </w:r>
          </w:p>
        </w:tc>
        <w:tc>
          <w:tcPr>
            <w:tcW w:w="1418" w:type="dxa"/>
            <w:tcBorders>
              <w:top w:val="single" w:color="auto" w:sz="4" w:space="0"/>
              <w:left w:val="single" w:color="auto" w:sz="4" w:space="0"/>
              <w:bottom w:val="single" w:color="auto" w:sz="4" w:space="0"/>
              <w:right w:val="single" w:color="auto" w:sz="4" w:space="0"/>
            </w:tcBorders>
            <w:vAlign w:val="center"/>
          </w:tcPr>
          <w:p w14:paraId="77716689">
            <w:pPr>
              <w:pStyle w:val="56"/>
              <w:ind w:firstLine="0" w:firstLineChars="0"/>
              <w:jc w:val="center"/>
            </w:pPr>
            <w:r>
              <w:rPr>
                <w:rFonts w:hint="eastAsia"/>
              </w:rPr>
              <w:t>实际测量值</w:t>
            </w:r>
          </w:p>
        </w:tc>
        <w:tc>
          <w:tcPr>
            <w:tcW w:w="1701" w:type="dxa"/>
            <w:tcBorders>
              <w:top w:val="single" w:color="auto" w:sz="4" w:space="0"/>
              <w:left w:val="single" w:color="auto" w:sz="4" w:space="0"/>
              <w:bottom w:val="single" w:color="auto" w:sz="4" w:space="0"/>
              <w:right w:val="single" w:color="auto" w:sz="4" w:space="0"/>
            </w:tcBorders>
            <w:vAlign w:val="center"/>
          </w:tcPr>
          <w:p w14:paraId="5477803E">
            <w:pPr>
              <w:pStyle w:val="56"/>
              <w:ind w:firstLine="0" w:firstLineChars="0"/>
              <w:jc w:val="center"/>
            </w:pPr>
            <w:r>
              <w:rPr>
                <w:rFonts w:hint="eastAsia"/>
              </w:rPr>
              <w:t>原始数据为报告年份1年内数据</w:t>
            </w:r>
          </w:p>
        </w:tc>
        <w:tc>
          <w:tcPr>
            <w:tcW w:w="1984" w:type="dxa"/>
            <w:tcBorders>
              <w:top w:val="single" w:color="auto" w:sz="4" w:space="0"/>
              <w:left w:val="single" w:color="auto" w:sz="4" w:space="0"/>
              <w:bottom w:val="single" w:color="auto" w:sz="4" w:space="0"/>
              <w:right w:val="single" w:color="auto" w:sz="4" w:space="0"/>
            </w:tcBorders>
            <w:vAlign w:val="center"/>
          </w:tcPr>
          <w:p w14:paraId="077FA8B6">
            <w:pPr>
              <w:pStyle w:val="56"/>
              <w:ind w:firstLine="0" w:firstLineChars="0"/>
              <w:jc w:val="center"/>
            </w:pPr>
            <w:r>
              <w:rPr>
                <w:rFonts w:hint="eastAsia"/>
              </w:rPr>
              <w:t>使用的技术与数据集范围内的技术完全相同</w:t>
            </w:r>
          </w:p>
        </w:tc>
        <w:tc>
          <w:tcPr>
            <w:tcW w:w="1559" w:type="dxa"/>
            <w:tcBorders>
              <w:top w:val="single" w:color="auto" w:sz="4" w:space="0"/>
              <w:left w:val="single" w:color="auto" w:sz="4" w:space="0"/>
              <w:bottom w:val="single" w:color="auto" w:sz="4" w:space="0"/>
              <w:right w:val="single" w:color="auto" w:sz="4" w:space="0"/>
            </w:tcBorders>
            <w:vAlign w:val="center"/>
          </w:tcPr>
          <w:p w14:paraId="47780DF5">
            <w:pPr>
              <w:pStyle w:val="56"/>
              <w:ind w:firstLine="0" w:firstLineChars="0"/>
              <w:jc w:val="center"/>
            </w:pPr>
            <w:r>
              <w:rPr>
                <w:rFonts w:hint="eastAsia"/>
              </w:rPr>
              <w:t>企业数据</w:t>
            </w:r>
          </w:p>
        </w:tc>
        <w:tc>
          <w:tcPr>
            <w:tcW w:w="1985" w:type="dxa"/>
            <w:tcBorders>
              <w:top w:val="single" w:color="auto" w:sz="4" w:space="0"/>
              <w:left w:val="single" w:color="auto" w:sz="4" w:space="0"/>
              <w:bottom w:val="single" w:color="auto" w:sz="4" w:space="0"/>
              <w:right w:val="single" w:color="auto" w:sz="8" w:space="0"/>
            </w:tcBorders>
            <w:vAlign w:val="center"/>
          </w:tcPr>
          <w:p w14:paraId="63BC408D">
            <w:pPr>
              <w:pStyle w:val="56"/>
              <w:ind w:firstLine="0" w:firstLineChars="0"/>
              <w:jc w:val="center"/>
            </w:pPr>
            <w:r>
              <w:rPr>
                <w:rFonts w:hint="eastAsia"/>
              </w:rPr>
              <w:t>碳足迹因子数据为报告年份1年内数据</w:t>
            </w:r>
          </w:p>
        </w:tc>
      </w:tr>
      <w:tr w14:paraId="696B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8" w:space="0"/>
              <w:bottom w:val="single" w:color="auto" w:sz="4" w:space="0"/>
              <w:right w:val="single" w:color="auto" w:sz="4" w:space="0"/>
            </w:tcBorders>
            <w:vAlign w:val="center"/>
          </w:tcPr>
          <w:p w14:paraId="0D3BB507">
            <w:pPr>
              <w:pStyle w:val="56"/>
              <w:ind w:firstLine="0" w:firstLineChars="0"/>
              <w:jc w:val="center"/>
            </w:pPr>
            <w:r>
              <w:rPr>
                <w:rFonts w:hint="eastAsia"/>
              </w:rPr>
              <w:t>4</w:t>
            </w:r>
          </w:p>
        </w:tc>
        <w:tc>
          <w:tcPr>
            <w:tcW w:w="1418" w:type="dxa"/>
            <w:tcBorders>
              <w:top w:val="single" w:color="auto" w:sz="4" w:space="0"/>
              <w:left w:val="single" w:color="auto" w:sz="4" w:space="0"/>
              <w:bottom w:val="single" w:color="auto" w:sz="4" w:space="0"/>
              <w:right w:val="single" w:color="auto" w:sz="4" w:space="0"/>
            </w:tcBorders>
            <w:vAlign w:val="center"/>
          </w:tcPr>
          <w:p w14:paraId="469C93AD">
            <w:pPr>
              <w:pStyle w:val="56"/>
              <w:ind w:firstLine="0" w:firstLineChars="0"/>
              <w:jc w:val="center"/>
            </w:pPr>
            <w:r>
              <w:rPr>
                <w:rFonts w:hint="eastAsia"/>
              </w:rPr>
              <w:t>基于部分测量数据</w:t>
            </w:r>
          </w:p>
        </w:tc>
        <w:tc>
          <w:tcPr>
            <w:tcW w:w="1701" w:type="dxa"/>
            <w:tcBorders>
              <w:top w:val="single" w:color="auto" w:sz="4" w:space="0"/>
              <w:left w:val="single" w:color="auto" w:sz="4" w:space="0"/>
              <w:bottom w:val="single" w:color="auto" w:sz="4" w:space="0"/>
              <w:right w:val="single" w:color="auto" w:sz="4" w:space="0"/>
            </w:tcBorders>
            <w:vAlign w:val="center"/>
          </w:tcPr>
          <w:p w14:paraId="7FDA2E48">
            <w:pPr>
              <w:pStyle w:val="56"/>
              <w:ind w:firstLine="0" w:firstLineChars="0"/>
              <w:jc w:val="center"/>
            </w:pPr>
            <w:r>
              <w:rPr>
                <w:rFonts w:hint="eastAsia"/>
              </w:rPr>
              <w:t>原始数据为报告年份2年内数据</w:t>
            </w:r>
          </w:p>
        </w:tc>
        <w:tc>
          <w:tcPr>
            <w:tcW w:w="1984" w:type="dxa"/>
            <w:tcBorders>
              <w:top w:val="single" w:color="auto" w:sz="4" w:space="0"/>
              <w:left w:val="single" w:color="auto" w:sz="4" w:space="0"/>
              <w:bottom w:val="single" w:color="auto" w:sz="4" w:space="0"/>
              <w:right w:val="single" w:color="auto" w:sz="4" w:space="0"/>
            </w:tcBorders>
            <w:vAlign w:val="center"/>
          </w:tcPr>
          <w:p w14:paraId="702E8992">
            <w:pPr>
              <w:pStyle w:val="56"/>
              <w:ind w:firstLine="0" w:firstLineChars="0"/>
              <w:jc w:val="center"/>
            </w:pPr>
            <w:r>
              <w:rPr>
                <w:rFonts w:hint="eastAsia"/>
              </w:rPr>
              <w:t>使用的技术包括在数据集范围内的技术组合中</w:t>
            </w:r>
          </w:p>
        </w:tc>
        <w:tc>
          <w:tcPr>
            <w:tcW w:w="1559" w:type="dxa"/>
            <w:tcBorders>
              <w:top w:val="single" w:color="auto" w:sz="4" w:space="0"/>
              <w:left w:val="single" w:color="auto" w:sz="4" w:space="0"/>
              <w:bottom w:val="single" w:color="auto" w:sz="4" w:space="0"/>
              <w:right w:val="single" w:color="auto" w:sz="4" w:space="0"/>
            </w:tcBorders>
            <w:vAlign w:val="center"/>
          </w:tcPr>
          <w:p w14:paraId="4460AB56">
            <w:pPr>
              <w:pStyle w:val="56"/>
              <w:ind w:firstLine="0" w:firstLineChars="0"/>
              <w:jc w:val="center"/>
            </w:pPr>
            <w:r>
              <w:rPr>
                <w:rFonts w:hint="eastAsia"/>
              </w:rPr>
              <w:t>国内数据</w:t>
            </w:r>
          </w:p>
        </w:tc>
        <w:tc>
          <w:tcPr>
            <w:tcW w:w="1985" w:type="dxa"/>
            <w:tcBorders>
              <w:top w:val="single" w:color="auto" w:sz="4" w:space="0"/>
              <w:left w:val="single" w:color="auto" w:sz="4" w:space="0"/>
              <w:bottom w:val="single" w:color="auto" w:sz="4" w:space="0"/>
              <w:right w:val="single" w:color="auto" w:sz="8" w:space="0"/>
            </w:tcBorders>
            <w:vAlign w:val="center"/>
          </w:tcPr>
          <w:p w14:paraId="4B99E17A">
            <w:pPr>
              <w:pStyle w:val="56"/>
              <w:ind w:firstLine="0" w:firstLineChars="0"/>
              <w:jc w:val="center"/>
            </w:pPr>
            <w:r>
              <w:rPr>
                <w:rFonts w:hint="eastAsia"/>
              </w:rPr>
              <w:t>碳足迹因子数据为报告年份2年内数据</w:t>
            </w:r>
          </w:p>
        </w:tc>
      </w:tr>
      <w:tr w14:paraId="33ED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8" w:space="0"/>
              <w:bottom w:val="single" w:color="auto" w:sz="4" w:space="0"/>
              <w:right w:val="single" w:color="auto" w:sz="4" w:space="0"/>
            </w:tcBorders>
            <w:vAlign w:val="center"/>
          </w:tcPr>
          <w:p w14:paraId="6996A27D">
            <w:pPr>
              <w:pStyle w:val="56"/>
              <w:ind w:firstLine="0" w:firstLineChars="0"/>
              <w:jc w:val="center"/>
            </w:pPr>
            <w:r>
              <w:rPr>
                <w:rFonts w:hint="eastAsia"/>
              </w:rPr>
              <w:t>3</w:t>
            </w:r>
          </w:p>
        </w:tc>
        <w:tc>
          <w:tcPr>
            <w:tcW w:w="1418" w:type="dxa"/>
            <w:tcBorders>
              <w:top w:val="single" w:color="auto" w:sz="4" w:space="0"/>
              <w:left w:val="single" w:color="auto" w:sz="4" w:space="0"/>
              <w:bottom w:val="single" w:color="auto" w:sz="4" w:space="0"/>
              <w:right w:val="single" w:color="auto" w:sz="4" w:space="0"/>
            </w:tcBorders>
            <w:vAlign w:val="center"/>
          </w:tcPr>
          <w:p w14:paraId="52E47E9C">
            <w:pPr>
              <w:pStyle w:val="56"/>
              <w:ind w:firstLine="0" w:firstLineChars="0"/>
              <w:jc w:val="center"/>
            </w:pPr>
            <w:r>
              <w:rPr>
                <w:rFonts w:hint="eastAsia"/>
              </w:rPr>
              <w:t>计算值，以合理的方法进行计算得到的数值</w:t>
            </w:r>
          </w:p>
        </w:tc>
        <w:tc>
          <w:tcPr>
            <w:tcW w:w="1701" w:type="dxa"/>
            <w:tcBorders>
              <w:top w:val="single" w:color="auto" w:sz="4" w:space="0"/>
              <w:left w:val="single" w:color="auto" w:sz="4" w:space="0"/>
              <w:bottom w:val="single" w:color="auto" w:sz="4" w:space="0"/>
              <w:right w:val="single" w:color="auto" w:sz="4" w:space="0"/>
            </w:tcBorders>
            <w:vAlign w:val="center"/>
          </w:tcPr>
          <w:p w14:paraId="22DA016A">
            <w:pPr>
              <w:pStyle w:val="56"/>
              <w:ind w:firstLine="0" w:firstLineChars="0"/>
              <w:jc w:val="center"/>
            </w:pPr>
            <w:r>
              <w:rPr>
                <w:rFonts w:hint="eastAsia"/>
              </w:rPr>
              <w:t>原始数据为报告评价年份4年内数据</w:t>
            </w:r>
          </w:p>
        </w:tc>
        <w:tc>
          <w:tcPr>
            <w:tcW w:w="1984" w:type="dxa"/>
            <w:tcBorders>
              <w:top w:val="single" w:color="auto" w:sz="4" w:space="0"/>
              <w:left w:val="single" w:color="auto" w:sz="4" w:space="0"/>
              <w:bottom w:val="single" w:color="auto" w:sz="4" w:space="0"/>
              <w:right w:val="single" w:color="auto" w:sz="4" w:space="0"/>
            </w:tcBorders>
            <w:vAlign w:val="center"/>
          </w:tcPr>
          <w:p w14:paraId="2074F1B6">
            <w:pPr>
              <w:pStyle w:val="56"/>
              <w:ind w:firstLine="0" w:firstLineChars="0"/>
              <w:jc w:val="center"/>
            </w:pPr>
            <w:r>
              <w:rPr>
                <w:rFonts w:hint="eastAsia"/>
              </w:rPr>
              <w:t>使用的技术仅部分包含在数据集范围内</w:t>
            </w:r>
          </w:p>
        </w:tc>
        <w:tc>
          <w:tcPr>
            <w:tcW w:w="1559" w:type="dxa"/>
            <w:tcBorders>
              <w:top w:val="single" w:color="auto" w:sz="4" w:space="0"/>
              <w:left w:val="single" w:color="auto" w:sz="4" w:space="0"/>
              <w:bottom w:val="single" w:color="auto" w:sz="4" w:space="0"/>
              <w:right w:val="single" w:color="auto" w:sz="4" w:space="0"/>
            </w:tcBorders>
            <w:vAlign w:val="center"/>
          </w:tcPr>
          <w:p w14:paraId="4169A16B">
            <w:pPr>
              <w:pStyle w:val="56"/>
              <w:ind w:firstLine="0" w:firstLineChars="0"/>
              <w:jc w:val="center"/>
            </w:pPr>
            <w:r>
              <w:rPr>
                <w:rFonts w:hint="eastAsia"/>
              </w:rPr>
              <w:t>亚洲数据</w:t>
            </w:r>
          </w:p>
        </w:tc>
        <w:tc>
          <w:tcPr>
            <w:tcW w:w="1985" w:type="dxa"/>
            <w:tcBorders>
              <w:top w:val="single" w:color="auto" w:sz="4" w:space="0"/>
              <w:left w:val="single" w:color="auto" w:sz="4" w:space="0"/>
              <w:bottom w:val="single" w:color="auto" w:sz="4" w:space="0"/>
              <w:right w:val="single" w:color="auto" w:sz="8" w:space="0"/>
            </w:tcBorders>
            <w:vAlign w:val="center"/>
          </w:tcPr>
          <w:p w14:paraId="0C625898">
            <w:pPr>
              <w:pStyle w:val="56"/>
              <w:ind w:firstLine="0" w:firstLineChars="0"/>
              <w:jc w:val="center"/>
            </w:pPr>
            <w:r>
              <w:rPr>
                <w:rFonts w:hint="eastAsia"/>
              </w:rPr>
              <w:t>碳足迹因子数据为报告评价年份4年内数据</w:t>
            </w:r>
          </w:p>
        </w:tc>
      </w:tr>
      <w:tr w14:paraId="7E7CF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8" w:space="0"/>
              <w:bottom w:val="single" w:color="auto" w:sz="4" w:space="0"/>
              <w:right w:val="single" w:color="auto" w:sz="4" w:space="0"/>
            </w:tcBorders>
            <w:vAlign w:val="center"/>
          </w:tcPr>
          <w:p w14:paraId="3A63C529">
            <w:pPr>
              <w:pStyle w:val="56"/>
              <w:ind w:firstLine="0" w:firstLineChars="0"/>
              <w:jc w:val="center"/>
            </w:pPr>
            <w:r>
              <w:rPr>
                <w:rFonts w:hint="eastAsia"/>
              </w:rPr>
              <w:t>2</w:t>
            </w:r>
          </w:p>
        </w:tc>
        <w:tc>
          <w:tcPr>
            <w:tcW w:w="1418" w:type="dxa"/>
            <w:tcBorders>
              <w:top w:val="single" w:color="auto" w:sz="4" w:space="0"/>
              <w:left w:val="single" w:color="auto" w:sz="4" w:space="0"/>
              <w:bottom w:val="single" w:color="auto" w:sz="4" w:space="0"/>
              <w:right w:val="single" w:color="auto" w:sz="4" w:space="0"/>
            </w:tcBorders>
            <w:vAlign w:val="center"/>
          </w:tcPr>
          <w:p w14:paraId="208F86E5">
            <w:pPr>
              <w:pStyle w:val="56"/>
              <w:ind w:firstLine="0" w:firstLineChars="0"/>
              <w:jc w:val="center"/>
            </w:pPr>
            <w:r>
              <w:rPr>
                <w:rFonts w:hint="eastAsia"/>
              </w:rPr>
              <w:t>估算值，基于部分假设或推导算出的数值</w:t>
            </w:r>
          </w:p>
        </w:tc>
        <w:tc>
          <w:tcPr>
            <w:tcW w:w="1701" w:type="dxa"/>
            <w:tcBorders>
              <w:top w:val="single" w:color="auto" w:sz="4" w:space="0"/>
              <w:left w:val="single" w:color="auto" w:sz="4" w:space="0"/>
              <w:bottom w:val="single" w:color="auto" w:sz="4" w:space="0"/>
              <w:right w:val="single" w:color="auto" w:sz="4" w:space="0"/>
            </w:tcBorders>
            <w:vAlign w:val="center"/>
          </w:tcPr>
          <w:p w14:paraId="3D36C03B">
            <w:pPr>
              <w:pStyle w:val="56"/>
              <w:ind w:firstLine="0" w:firstLineChars="0"/>
              <w:jc w:val="center"/>
            </w:pPr>
            <w:r>
              <w:rPr>
                <w:rFonts w:hint="eastAsia"/>
              </w:rPr>
              <w:t>原始数据为报告评价年份6年内数据</w:t>
            </w:r>
          </w:p>
        </w:tc>
        <w:tc>
          <w:tcPr>
            <w:tcW w:w="1984" w:type="dxa"/>
            <w:tcBorders>
              <w:top w:val="single" w:color="auto" w:sz="4" w:space="0"/>
              <w:left w:val="single" w:color="auto" w:sz="4" w:space="0"/>
              <w:bottom w:val="single" w:color="auto" w:sz="4" w:space="0"/>
              <w:right w:val="single" w:color="auto" w:sz="4" w:space="0"/>
            </w:tcBorders>
            <w:vAlign w:val="center"/>
          </w:tcPr>
          <w:p w14:paraId="78796462">
            <w:pPr>
              <w:pStyle w:val="56"/>
              <w:ind w:firstLine="0" w:firstLineChars="0"/>
              <w:jc w:val="center"/>
            </w:pPr>
            <w:r>
              <w:rPr>
                <w:rFonts w:hint="eastAsia"/>
              </w:rPr>
              <w:t>使用的技术与数据集范围中包含的技术类似</w:t>
            </w:r>
          </w:p>
        </w:tc>
        <w:tc>
          <w:tcPr>
            <w:tcW w:w="1559" w:type="dxa"/>
            <w:tcBorders>
              <w:top w:val="single" w:color="auto" w:sz="4" w:space="0"/>
              <w:left w:val="single" w:color="auto" w:sz="4" w:space="0"/>
              <w:bottom w:val="single" w:color="auto" w:sz="4" w:space="0"/>
              <w:right w:val="single" w:color="auto" w:sz="4" w:space="0"/>
            </w:tcBorders>
            <w:vAlign w:val="center"/>
          </w:tcPr>
          <w:p w14:paraId="640CF258">
            <w:pPr>
              <w:pStyle w:val="56"/>
              <w:ind w:firstLine="0" w:firstLineChars="0"/>
              <w:jc w:val="center"/>
            </w:pPr>
            <w:r>
              <w:rPr>
                <w:rFonts w:hint="eastAsia"/>
              </w:rPr>
              <w:t>全球数据，但根据专家判断，估计有足够的相似性</w:t>
            </w:r>
          </w:p>
        </w:tc>
        <w:tc>
          <w:tcPr>
            <w:tcW w:w="1985" w:type="dxa"/>
            <w:tcBorders>
              <w:top w:val="single" w:color="auto" w:sz="4" w:space="0"/>
              <w:left w:val="single" w:color="auto" w:sz="4" w:space="0"/>
              <w:bottom w:val="single" w:color="auto" w:sz="4" w:space="0"/>
              <w:right w:val="single" w:color="auto" w:sz="8" w:space="0"/>
            </w:tcBorders>
            <w:vAlign w:val="center"/>
          </w:tcPr>
          <w:p w14:paraId="5FBA05CA">
            <w:pPr>
              <w:pStyle w:val="56"/>
              <w:ind w:firstLine="0" w:firstLineChars="0"/>
              <w:jc w:val="center"/>
            </w:pPr>
            <w:r>
              <w:rPr>
                <w:rFonts w:hint="eastAsia"/>
              </w:rPr>
              <w:t>碳足迹因子数据为报告评价年份6年内数据</w:t>
            </w:r>
          </w:p>
        </w:tc>
      </w:tr>
      <w:tr w14:paraId="7B287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Borders>
              <w:top w:val="single" w:color="auto" w:sz="4" w:space="0"/>
              <w:left w:val="single" w:color="auto" w:sz="8" w:space="0"/>
              <w:bottom w:val="single" w:color="auto" w:sz="8" w:space="0"/>
              <w:right w:val="single" w:color="auto" w:sz="4" w:space="0"/>
            </w:tcBorders>
            <w:vAlign w:val="center"/>
          </w:tcPr>
          <w:p w14:paraId="1C49132A">
            <w:pPr>
              <w:pStyle w:val="56"/>
              <w:ind w:firstLine="0" w:firstLineChars="0"/>
              <w:jc w:val="center"/>
            </w:pPr>
            <w:r>
              <w:rPr>
                <w:rFonts w:hint="eastAsia"/>
              </w:rPr>
              <w:t>1</w:t>
            </w:r>
          </w:p>
        </w:tc>
        <w:tc>
          <w:tcPr>
            <w:tcW w:w="1418" w:type="dxa"/>
            <w:tcBorders>
              <w:top w:val="single" w:color="auto" w:sz="4" w:space="0"/>
              <w:left w:val="single" w:color="auto" w:sz="4" w:space="0"/>
              <w:bottom w:val="single" w:color="auto" w:sz="8" w:space="0"/>
              <w:right w:val="single" w:color="auto" w:sz="4" w:space="0"/>
            </w:tcBorders>
            <w:vAlign w:val="center"/>
          </w:tcPr>
          <w:p w14:paraId="3A70E762">
            <w:pPr>
              <w:pStyle w:val="56"/>
              <w:ind w:firstLine="0" w:firstLineChars="0"/>
              <w:jc w:val="center"/>
            </w:pPr>
            <w:r>
              <w:rPr>
                <w:rFonts w:hint="eastAsia"/>
              </w:rPr>
              <w:t>不合格估算</w:t>
            </w:r>
          </w:p>
        </w:tc>
        <w:tc>
          <w:tcPr>
            <w:tcW w:w="1701" w:type="dxa"/>
            <w:tcBorders>
              <w:top w:val="single" w:color="auto" w:sz="4" w:space="0"/>
              <w:left w:val="single" w:color="auto" w:sz="4" w:space="0"/>
              <w:bottom w:val="single" w:color="auto" w:sz="8" w:space="0"/>
              <w:right w:val="single" w:color="auto" w:sz="4" w:space="0"/>
            </w:tcBorders>
            <w:vAlign w:val="center"/>
          </w:tcPr>
          <w:p w14:paraId="18696C20">
            <w:pPr>
              <w:pStyle w:val="56"/>
              <w:ind w:firstLine="0" w:firstLineChars="0"/>
              <w:jc w:val="center"/>
            </w:pPr>
            <w:r>
              <w:rPr>
                <w:rFonts w:hint="eastAsia"/>
              </w:rPr>
              <w:t>原始数据为报告评价年份6年以上数据，或未指定时间有效期</w:t>
            </w:r>
          </w:p>
        </w:tc>
        <w:tc>
          <w:tcPr>
            <w:tcW w:w="1984" w:type="dxa"/>
            <w:tcBorders>
              <w:top w:val="single" w:color="auto" w:sz="4" w:space="0"/>
              <w:left w:val="single" w:color="auto" w:sz="4" w:space="0"/>
              <w:bottom w:val="single" w:color="auto" w:sz="8" w:space="0"/>
              <w:right w:val="single" w:color="auto" w:sz="4" w:space="0"/>
            </w:tcBorders>
            <w:vAlign w:val="center"/>
          </w:tcPr>
          <w:p w14:paraId="1F65D315">
            <w:pPr>
              <w:pStyle w:val="56"/>
              <w:ind w:firstLine="0" w:firstLineChars="0"/>
              <w:jc w:val="center"/>
            </w:pPr>
            <w:r>
              <w:rPr>
                <w:rFonts w:hint="eastAsia"/>
              </w:rPr>
              <w:t>使用的技术不同于数据集范围中包含的技术</w:t>
            </w:r>
          </w:p>
        </w:tc>
        <w:tc>
          <w:tcPr>
            <w:tcW w:w="1559" w:type="dxa"/>
            <w:tcBorders>
              <w:top w:val="single" w:color="auto" w:sz="4" w:space="0"/>
              <w:left w:val="single" w:color="auto" w:sz="4" w:space="0"/>
              <w:bottom w:val="single" w:color="auto" w:sz="8" w:space="0"/>
              <w:right w:val="single" w:color="auto" w:sz="4" w:space="0"/>
            </w:tcBorders>
            <w:vAlign w:val="center"/>
          </w:tcPr>
          <w:p w14:paraId="205F7CBC">
            <w:pPr>
              <w:pStyle w:val="56"/>
              <w:ind w:firstLine="0" w:firstLineChars="0"/>
              <w:jc w:val="center"/>
            </w:pPr>
            <w:r>
              <w:rPr>
                <w:rFonts w:hint="eastAsia"/>
              </w:rPr>
              <w:t>其他数据</w:t>
            </w:r>
          </w:p>
        </w:tc>
        <w:tc>
          <w:tcPr>
            <w:tcW w:w="1985" w:type="dxa"/>
            <w:tcBorders>
              <w:top w:val="single" w:color="auto" w:sz="4" w:space="0"/>
              <w:left w:val="single" w:color="auto" w:sz="4" w:space="0"/>
              <w:bottom w:val="single" w:color="auto" w:sz="8" w:space="0"/>
              <w:right w:val="single" w:color="auto" w:sz="8" w:space="0"/>
            </w:tcBorders>
            <w:vAlign w:val="center"/>
          </w:tcPr>
          <w:p w14:paraId="0A41034E">
            <w:pPr>
              <w:pStyle w:val="56"/>
              <w:ind w:firstLine="0" w:firstLineChars="0"/>
              <w:jc w:val="center"/>
            </w:pPr>
            <w:r>
              <w:rPr>
                <w:rFonts w:hint="eastAsia"/>
              </w:rPr>
              <w:t>碳足迹因子数据为报告评价年份6年以上数据，或未指定时间有效期</w:t>
            </w:r>
          </w:p>
        </w:tc>
      </w:tr>
    </w:tbl>
    <w:p w14:paraId="0BBA6E59">
      <w:pPr>
        <w:pStyle w:val="56"/>
        <w:ind w:firstLine="420"/>
      </w:pPr>
    </w:p>
    <w:p w14:paraId="1C499616">
      <w:pPr>
        <w:pStyle w:val="56"/>
        <w:ind w:firstLine="420"/>
      </w:pPr>
      <w:r>
        <w:rPr>
          <w:rFonts w:hint="eastAsia"/>
        </w:rPr>
        <w:t>该评价体系的数据评价指标有4个：数据可靠性、时间代表性、技术代表性、地理代表性，并用5级分制来定义数据质量。其中数据可靠性和时间代表性用于评价活动数据，技术代表性、地理代表性和时间代表性用于评价碳足迹因子。该方法以计算每个数据的得分来判断数据质量，以计算单元过程所有数据的平均得分来判断工序数据的评价质量。对于质量较差的数据应进行敏感性分析或不确定性分析，检查说明产品生命周期忽略的过程、忽略的现场数据，以及主要的假设等相关因素可能对最终结果造成的影响，说明碳足迹因子数据选择、活动数据收集与处理是否符合本文件的要求。</w:t>
      </w:r>
    </w:p>
    <w:p w14:paraId="30CDC4B2">
      <w:pPr>
        <w:pStyle w:val="56"/>
        <w:ind w:firstLine="420"/>
      </w:pPr>
      <w:r>
        <w:rPr>
          <w:rFonts w:hint="eastAsia"/>
        </w:rPr>
        <w:t>活动数据的数据质量标准得分计算方法见公式（D.1）。</w:t>
      </w:r>
    </w:p>
    <w:p w14:paraId="2DB6E0DF">
      <w:pPr>
        <w:pStyle w:val="113"/>
        <w:rPr>
          <w:rFonts w:hint="eastAsia"/>
        </w:rPr>
      </w:pPr>
      <w:r>
        <w:rPr>
          <w:rFonts w:hint="eastAsia"/>
        </w:rPr>
        <w:tab/>
      </w:r>
      <m:oMath>
        <m:sSub>
          <m:sSubPr>
            <m:ctrlPr>
              <w:rPr>
                <w:rFonts w:ascii="Cambria Math" w:hAnsi="Cambria Math"/>
                <w:i/>
              </w:rPr>
            </m:ctrlPr>
          </m:sSubPr>
          <m:e>
            <m:r>
              <m:rPr/>
              <w:rPr>
                <w:rFonts w:ascii="Cambria Math" w:hAnsi="Cambria Math"/>
              </w:rPr>
              <m:t>DQR</m:t>
            </m:r>
            <m:ctrlPr>
              <w:rPr>
                <w:rFonts w:ascii="Cambria Math" w:hAnsi="Cambria Math"/>
                <w:i/>
              </w:rPr>
            </m:ctrlPr>
          </m:e>
          <m:sub>
            <m:r>
              <m:rPr/>
              <w:rPr>
                <w:rFonts w:ascii="Cambria Math" w:hAnsi="Cambria Math"/>
              </w:rPr>
              <m:t>AD,i</m:t>
            </m:r>
            <m:ctrlPr>
              <w:rPr>
                <w:rFonts w:ascii="Cambria Math" w:hAnsi="Cambria Math"/>
                <w:i/>
              </w:rPr>
            </m:ctrlPr>
          </m:sub>
        </m:sSub>
        <m:r>
          <m:rPr/>
          <w:rPr>
            <w:rFonts w:ascii="Cambria Math" w:hAnsi="Cambria Math"/>
          </w:rPr>
          <m:t>=</m:t>
        </m:r>
        <m:f>
          <m:fPr>
            <m:ctrlPr>
              <w:rPr>
                <w:rFonts w:ascii="Cambria Math" w:hAnsi="Cambria Math"/>
                <w:i/>
              </w:rPr>
            </m:ctrlPr>
          </m:fPr>
          <m:num>
            <m:sSub>
              <m:sSubPr>
                <m:ctrlPr>
                  <w:rPr>
                    <w:rFonts w:ascii="Cambria Math" w:hAnsi="Cambria Math"/>
                    <w:i/>
                  </w:rPr>
                </m:ctrlPr>
              </m:sSubPr>
              <m:e>
                <m:r>
                  <m:rPr/>
                  <w:rPr>
                    <w:rFonts w:ascii="Cambria Math" w:hAnsi="Cambria Math"/>
                  </w:rPr>
                  <m:t>DQR</m:t>
                </m:r>
                <m:ctrlPr>
                  <w:rPr>
                    <w:rFonts w:ascii="Cambria Math" w:hAnsi="Cambria Math"/>
                    <w:i/>
                  </w:rPr>
                </m:ctrlPr>
              </m:e>
              <m:sub>
                <m:r>
                  <m:rPr/>
                  <w:rPr>
                    <w:rFonts w:ascii="Cambria Math" w:hAnsi="Cambria Math"/>
                  </w:rPr>
                  <m:t>AD,rel,i</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DQR</m:t>
                </m:r>
                <m:ctrlPr>
                  <w:rPr>
                    <w:rFonts w:ascii="Cambria Math" w:hAnsi="Cambria Math"/>
                    <w:i/>
                  </w:rPr>
                </m:ctrlPr>
              </m:e>
              <m:sub>
                <m:r>
                  <m:rPr/>
                  <w:rPr>
                    <w:rFonts w:ascii="Cambria Math" w:hAnsi="Cambria Math"/>
                  </w:rPr>
                  <m:t>AD,t,i</m:t>
                </m:r>
                <m:ctrlPr>
                  <w:rPr>
                    <w:rFonts w:ascii="Cambria Math" w:hAnsi="Cambria Math"/>
                    <w:i/>
                  </w:rPr>
                </m:ctrlPr>
              </m:sub>
            </m:sSub>
            <m:ctrlPr>
              <w:rPr>
                <w:rFonts w:ascii="Cambria Math" w:hAnsi="Cambria Math"/>
                <w:i/>
              </w:rPr>
            </m:ctrlPr>
          </m:num>
          <m:den>
            <m:r>
              <m:rPr/>
              <w:rPr>
                <w:rFonts w:ascii="Cambria Math" w:hAnsi="Cambria Math"/>
              </w:rPr>
              <m:t>2</m:t>
            </m:r>
            <m:ctrlPr>
              <w:rPr>
                <w:rFonts w:ascii="Cambria Math" w:hAnsi="Cambria Math"/>
                <w:i/>
              </w:rPr>
            </m:ctrlPr>
          </m:den>
        </m:f>
      </m:oMath>
      <w:r>
        <w:rPr>
          <w:rFonts w:hint="eastAsia" w:ascii="微软雅黑" w:hAnsi="微软雅黑" w:eastAsia="微软雅黑"/>
        </w:rPr>
        <w:tab/>
      </w:r>
      <w:r>
        <w:t>(D.</w:t>
      </w:r>
      <w:r>
        <w:fldChar w:fldCharType="begin"/>
      </w:r>
      <w:r>
        <w:instrText xml:space="preserve"> seq fulu_equation_134247657081894201 </w:instrText>
      </w:r>
      <w:r>
        <w:fldChar w:fldCharType="separate"/>
      </w:r>
      <w:r>
        <w:rPr>
          <w:rFonts w:hint="eastAsia"/>
        </w:rPr>
        <w:t>1</w:t>
      </w:r>
      <w:r>
        <w:rPr>
          <w:rFonts w:hint="eastAsia"/>
        </w:rPr>
        <w:fldChar w:fldCharType="end"/>
      </w:r>
      <w:r>
        <w:t>)</w:t>
      </w:r>
    </w:p>
    <w:p w14:paraId="3057CB66">
      <w:pPr>
        <w:pStyle w:val="55"/>
        <w:ind w:firstLine="420"/>
      </w:pPr>
      <w:r>
        <w:rPr>
          <w:rFonts w:hint="eastAsia"/>
        </w:rPr>
        <w:t>式中：</w:t>
      </w:r>
    </w:p>
    <w:p w14:paraId="07A44956">
      <w:pPr>
        <w:pStyle w:val="56"/>
        <w:tabs>
          <w:tab w:val="left" w:pos="1134"/>
        </w:tabs>
        <w:ind w:left="1575" w:leftChars="200" w:hanging="1155" w:hangingChars="550"/>
      </w:pPr>
      <w:r>
        <w:rPr>
          <w:rFonts w:hint="eastAsia"/>
        </w:rPr>
        <w:t>DQR</w:t>
      </w:r>
      <w:r>
        <w:rPr>
          <w:rFonts w:hint="eastAsia"/>
          <w:vertAlign w:val="subscript"/>
        </w:rPr>
        <w:t>AD,i</w:t>
      </w:r>
      <w:r>
        <w:rPr>
          <w:vertAlign w:val="subscript"/>
        </w:rPr>
        <w:tab/>
      </w:r>
      <w:r>
        <w:rPr>
          <w:rFonts w:hint="eastAsia"/>
        </w:rPr>
        <w:t>——核算对象i的活动数据质量标准得分，无量纲单位；</w:t>
      </w:r>
    </w:p>
    <w:p w14:paraId="7EF2D725">
      <w:pPr>
        <w:pStyle w:val="56"/>
        <w:tabs>
          <w:tab w:val="left" w:pos="1134"/>
        </w:tabs>
        <w:ind w:left="1575" w:leftChars="200" w:hanging="1155" w:hangingChars="550"/>
      </w:pPr>
      <w:r>
        <w:rPr>
          <w:rFonts w:hint="eastAsia"/>
        </w:rPr>
        <w:t>DQR</w:t>
      </w:r>
      <w:r>
        <w:rPr>
          <w:rFonts w:hint="eastAsia"/>
          <w:vertAlign w:val="subscript"/>
        </w:rPr>
        <w:t>AD,rel,i</w:t>
      </w:r>
      <w:r>
        <w:rPr>
          <w:vertAlign w:val="subscript"/>
        </w:rPr>
        <w:tab/>
      </w:r>
      <w:r>
        <w:rPr>
          <w:rFonts w:hint="eastAsia"/>
        </w:rPr>
        <w:t>——核算对象i的活动数据可靠性质量标准评分，无量纲单位；</w:t>
      </w:r>
    </w:p>
    <w:p w14:paraId="71288C8A">
      <w:pPr>
        <w:pStyle w:val="56"/>
        <w:tabs>
          <w:tab w:val="left" w:pos="1134"/>
        </w:tabs>
        <w:ind w:left="1575" w:leftChars="200" w:hanging="1155" w:hangingChars="550"/>
      </w:pPr>
      <w:r>
        <w:rPr>
          <w:rFonts w:hint="eastAsia"/>
        </w:rPr>
        <w:t>DQR</w:t>
      </w:r>
      <w:r>
        <w:rPr>
          <w:rFonts w:hint="eastAsia"/>
          <w:vertAlign w:val="subscript"/>
        </w:rPr>
        <w:t>AD,t,i</w:t>
      </w:r>
      <w:r>
        <w:rPr>
          <w:vertAlign w:val="subscript"/>
        </w:rPr>
        <w:tab/>
      </w:r>
      <w:r>
        <w:rPr>
          <w:rFonts w:hint="eastAsia"/>
        </w:rPr>
        <w:t>——核算对象i的活动数据时间代表性质量标准评分，无量纲单位。</w:t>
      </w:r>
    </w:p>
    <w:p w14:paraId="4B463BE7">
      <w:pPr>
        <w:pStyle w:val="56"/>
        <w:tabs>
          <w:tab w:val="left" w:pos="1134"/>
        </w:tabs>
        <w:ind w:left="1575" w:leftChars="200" w:hanging="1155" w:hangingChars="550"/>
      </w:pPr>
    </w:p>
    <w:p w14:paraId="199DF7B2">
      <w:pPr>
        <w:pStyle w:val="56"/>
        <w:ind w:firstLine="420"/>
      </w:pPr>
      <w:r>
        <w:rPr>
          <w:rFonts w:hint="eastAsia"/>
        </w:rPr>
        <w:t>碳足迹因子的数据质量标准得分计算方法见公式（C.2）。</w:t>
      </w:r>
    </w:p>
    <w:p w14:paraId="685CC299">
      <w:pPr>
        <w:pStyle w:val="113"/>
        <w:rPr>
          <w:rFonts w:hint="eastAsia"/>
        </w:rPr>
      </w:pPr>
      <w:r>
        <w:rPr>
          <w:rFonts w:hint="eastAsia"/>
        </w:rPr>
        <w:tab/>
      </w:r>
      <m:oMath>
        <m:sSub>
          <m:sSubPr>
            <m:ctrlPr>
              <w:rPr>
                <w:rFonts w:ascii="Cambria Math" w:hAnsi="Cambria Math"/>
                <w:i/>
              </w:rPr>
            </m:ctrlPr>
          </m:sSubPr>
          <m:e>
            <m:r>
              <m:rPr/>
              <w:rPr>
                <w:rFonts w:ascii="Cambria Math" w:hAnsi="Cambria Math"/>
              </w:rPr>
              <m:t>DQR</m:t>
            </m:r>
            <m:ctrlPr>
              <w:rPr>
                <w:rFonts w:ascii="Cambria Math" w:hAnsi="Cambria Math"/>
                <w:i/>
              </w:rPr>
            </m:ctrlPr>
          </m:e>
          <m:sub>
            <m:r>
              <m:rPr/>
              <w:rPr>
                <w:rFonts w:ascii="Cambria Math" w:hAnsi="Cambria Math"/>
              </w:rPr>
              <m:t>EF,i</m:t>
            </m:r>
            <m:ctrlPr>
              <w:rPr>
                <w:rFonts w:ascii="Cambria Math" w:hAnsi="Cambria Math"/>
                <w:i/>
              </w:rPr>
            </m:ctrlPr>
          </m:sub>
        </m:sSub>
        <m:r>
          <m:rPr/>
          <w:rPr>
            <w:rFonts w:ascii="Cambria Math" w:hAnsi="Cambria Math"/>
          </w:rPr>
          <m:t>=</m:t>
        </m:r>
        <m:f>
          <m:fPr>
            <m:ctrlPr>
              <w:rPr>
                <w:rFonts w:ascii="Cambria Math" w:hAnsi="Cambria Math"/>
                <w:i/>
              </w:rPr>
            </m:ctrlPr>
          </m:fPr>
          <m:num>
            <m:sSub>
              <m:sSubPr>
                <m:ctrlPr>
                  <w:rPr>
                    <w:rFonts w:ascii="Cambria Math" w:hAnsi="Cambria Math"/>
                    <w:i/>
                  </w:rPr>
                </m:ctrlPr>
              </m:sSubPr>
              <m:e>
                <m:r>
                  <m:rPr/>
                  <w:rPr>
                    <w:rFonts w:ascii="Cambria Math" w:hAnsi="Cambria Math"/>
                  </w:rPr>
                  <m:t>DQR</m:t>
                </m:r>
                <m:ctrlPr>
                  <w:rPr>
                    <w:rFonts w:ascii="Cambria Math" w:hAnsi="Cambria Math"/>
                    <w:i/>
                  </w:rPr>
                </m:ctrlPr>
              </m:e>
              <m:sub>
                <m:r>
                  <m:rPr/>
                  <w:rPr>
                    <w:rFonts w:ascii="Cambria Math" w:hAnsi="Cambria Math"/>
                  </w:rPr>
                  <m:t>EF,</m:t>
                </m:r>
                <m:r>
                  <m:rPr/>
                  <w:rPr>
                    <w:rFonts w:hint="eastAsia" w:ascii="Cambria Math" w:hAnsi="Cambria Math"/>
                  </w:rPr>
                  <m:t>tec</m:t>
                </m:r>
                <m:r>
                  <m:rPr/>
                  <w:rPr>
                    <w:rFonts w:ascii="Cambria Math" w:hAnsi="Cambria Math" w:cs="Cambria Math"/>
                  </w:rPr>
                  <m:t>h</m:t>
                </m:r>
                <m:r>
                  <m:rPr/>
                  <w:rPr>
                    <w:rFonts w:ascii="Cambria Math" w:hAnsi="Cambria Math"/>
                  </w:rPr>
                  <m:t>,i</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DQR</m:t>
                </m:r>
                <m:ctrlPr>
                  <w:rPr>
                    <w:rFonts w:ascii="Cambria Math" w:hAnsi="Cambria Math"/>
                    <w:i/>
                  </w:rPr>
                </m:ctrlPr>
              </m:e>
              <m:sub>
                <m:r>
                  <m:rPr/>
                  <w:rPr>
                    <w:rFonts w:ascii="Cambria Math" w:hAnsi="Cambria Math"/>
                  </w:rPr>
                  <m:t>EF,</m:t>
                </m:r>
                <m:r>
                  <m:rPr/>
                  <w:rPr>
                    <w:rFonts w:hint="eastAsia" w:ascii="Cambria Math" w:hAnsi="Cambria Math"/>
                  </w:rPr>
                  <m:t>geo</m:t>
                </m:r>
                <m:r>
                  <m:rPr/>
                  <w:rPr>
                    <w:rFonts w:ascii="Cambria Math" w:hAnsi="Cambria Math"/>
                  </w:rPr>
                  <m:t>,i</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DQR</m:t>
                </m:r>
                <m:ctrlPr>
                  <w:rPr>
                    <w:rFonts w:ascii="Cambria Math" w:hAnsi="Cambria Math"/>
                    <w:i/>
                  </w:rPr>
                </m:ctrlPr>
              </m:e>
              <m:sub>
                <m:r>
                  <m:rPr/>
                  <w:rPr>
                    <w:rFonts w:ascii="Cambria Math" w:hAnsi="Cambria Math"/>
                  </w:rPr>
                  <m:t>ER,t,i</m:t>
                </m:r>
                <m:ctrlPr>
                  <w:rPr>
                    <w:rFonts w:ascii="Cambria Math" w:hAnsi="Cambria Math"/>
                    <w:i/>
                  </w:rPr>
                </m:ctrlPr>
              </m:sub>
            </m:sSub>
            <m:ctrlPr>
              <w:rPr>
                <w:rFonts w:ascii="Cambria Math" w:hAnsi="Cambria Math"/>
                <w:i/>
              </w:rPr>
            </m:ctrlPr>
          </m:num>
          <m:den>
            <m:r>
              <m:rPr/>
              <w:rPr>
                <w:rFonts w:ascii="Cambria Math" w:hAnsi="Cambria Math"/>
              </w:rPr>
              <m:t>3</m:t>
            </m:r>
            <m:ctrlPr>
              <w:rPr>
                <w:rFonts w:ascii="Cambria Math" w:hAnsi="Cambria Math"/>
                <w:i/>
              </w:rPr>
            </m:ctrlPr>
          </m:den>
        </m:f>
      </m:oMath>
      <w:r>
        <w:rPr>
          <w:rFonts w:hint="eastAsia" w:ascii="微软雅黑" w:hAnsi="微软雅黑" w:eastAsia="微软雅黑"/>
        </w:rPr>
        <w:tab/>
      </w:r>
      <w:r>
        <w:t>(D.</w:t>
      </w:r>
      <w:r>
        <w:fldChar w:fldCharType="begin"/>
      </w:r>
      <w:r>
        <w:instrText xml:space="preserve">  seq fulu_equation_134247657081894201  </w:instrText>
      </w:r>
      <w:r>
        <w:fldChar w:fldCharType="separate"/>
      </w:r>
      <w:r>
        <w:rPr>
          <w:rFonts w:hint="eastAsia"/>
        </w:rPr>
        <w:t>2</w:t>
      </w:r>
      <w:r>
        <w:rPr>
          <w:rFonts w:hint="eastAsia"/>
        </w:rPr>
        <w:fldChar w:fldCharType="end"/>
      </w:r>
      <w:r>
        <w:t>)</w:t>
      </w:r>
    </w:p>
    <w:p w14:paraId="2617E793">
      <w:pPr>
        <w:pStyle w:val="55"/>
        <w:ind w:firstLine="420"/>
      </w:pPr>
      <w:r>
        <w:rPr>
          <w:rFonts w:hint="eastAsia"/>
        </w:rPr>
        <w:t>式中：</w:t>
      </w:r>
    </w:p>
    <w:p w14:paraId="04B84515">
      <w:pPr>
        <w:pStyle w:val="56"/>
        <w:ind w:left="1575" w:leftChars="200" w:hanging="1155" w:hangingChars="550"/>
      </w:pPr>
      <w:r>
        <w:rPr>
          <w:rFonts w:hint="eastAsia"/>
        </w:rPr>
        <w:t>DQR</w:t>
      </w:r>
      <w:r>
        <w:rPr>
          <w:rFonts w:hint="eastAsia"/>
          <w:vertAlign w:val="subscript"/>
        </w:rPr>
        <w:t>EF,t</w:t>
      </w:r>
      <w:r>
        <w:tab/>
      </w:r>
      <w:r>
        <w:rPr>
          <w:rFonts w:hint="eastAsia"/>
        </w:rPr>
        <w:t>——核算对象i的碳足迹因子数据质量标准得分，无量纲单位；</w:t>
      </w:r>
    </w:p>
    <w:p w14:paraId="2C3EEB74">
      <w:pPr>
        <w:pStyle w:val="56"/>
        <w:tabs>
          <w:tab w:val="left" w:pos="1134"/>
        </w:tabs>
        <w:ind w:left="1575" w:leftChars="200" w:hanging="1155" w:hangingChars="550"/>
      </w:pPr>
      <w:r>
        <w:rPr>
          <w:rFonts w:hint="eastAsia"/>
        </w:rPr>
        <w:t>DQR</w:t>
      </w:r>
      <w:r>
        <w:rPr>
          <w:rFonts w:hint="eastAsia"/>
          <w:vertAlign w:val="subscript"/>
        </w:rPr>
        <w:t>EF,tech,i</w:t>
      </w:r>
      <w:r>
        <w:rPr>
          <w:vertAlign w:val="subscript"/>
        </w:rPr>
        <w:tab/>
      </w:r>
      <w:r>
        <w:rPr>
          <w:rFonts w:hint="eastAsia"/>
        </w:rPr>
        <w:t>——核算对象i的碳足迹因子技术代表性质量标准评分，无量纲单位；</w:t>
      </w:r>
    </w:p>
    <w:p w14:paraId="799E6767">
      <w:pPr>
        <w:pStyle w:val="56"/>
        <w:tabs>
          <w:tab w:val="left" w:pos="1134"/>
        </w:tabs>
        <w:ind w:left="1575" w:leftChars="200" w:hanging="1155" w:hangingChars="550"/>
      </w:pPr>
      <w:r>
        <w:rPr>
          <w:rFonts w:hint="eastAsia"/>
        </w:rPr>
        <w:t>DQR</w:t>
      </w:r>
      <w:r>
        <w:rPr>
          <w:rFonts w:hint="eastAsia"/>
          <w:vertAlign w:val="subscript"/>
        </w:rPr>
        <w:t>EF,geo,i</w:t>
      </w:r>
      <w:r>
        <w:rPr>
          <w:vertAlign w:val="subscript"/>
        </w:rPr>
        <w:tab/>
      </w:r>
      <w:r>
        <w:rPr>
          <w:rFonts w:hint="eastAsia"/>
        </w:rPr>
        <w:t>——核算对象i的碳足迹因子地理代表性质量标准评分，无量纲单位；</w:t>
      </w:r>
    </w:p>
    <w:p w14:paraId="04DB9D28">
      <w:pPr>
        <w:pStyle w:val="56"/>
        <w:tabs>
          <w:tab w:val="left" w:pos="1134"/>
        </w:tabs>
        <w:ind w:left="1575" w:leftChars="200" w:hanging="1155" w:hangingChars="550"/>
      </w:pPr>
      <w:r>
        <w:rPr>
          <w:rFonts w:hint="eastAsia"/>
        </w:rPr>
        <w:t>DQR</w:t>
      </w:r>
      <w:r>
        <w:rPr>
          <w:rFonts w:hint="eastAsia"/>
          <w:vertAlign w:val="subscript"/>
        </w:rPr>
        <w:t>EF,t,i</w:t>
      </w:r>
      <w:r>
        <w:rPr>
          <w:vertAlign w:val="subscript"/>
        </w:rPr>
        <w:tab/>
      </w:r>
      <w:r>
        <w:rPr>
          <w:rFonts w:hint="eastAsia"/>
        </w:rPr>
        <w:t>——核算对象i的碳足迹因子时间代表性质量标准评分，无量纲单位。</w:t>
      </w:r>
    </w:p>
    <w:p w14:paraId="454D62A5">
      <w:pPr>
        <w:pStyle w:val="56"/>
        <w:tabs>
          <w:tab w:val="left" w:pos="1134"/>
        </w:tabs>
        <w:ind w:left="1575" w:leftChars="200" w:hanging="1155" w:hangingChars="550"/>
      </w:pPr>
      <w:r>
        <w:rPr>
          <w:rFonts w:hint="eastAsia"/>
        </w:rPr>
        <w:t>整体数据质量标准得分计算方法见公式（C.3）。</w:t>
      </w:r>
    </w:p>
    <w:p w14:paraId="43D53D18">
      <w:pPr>
        <w:pStyle w:val="113"/>
        <w:rPr>
          <w:rFonts w:hint="eastAsia"/>
        </w:rPr>
      </w:pPr>
      <w:r>
        <w:rPr>
          <w:rFonts w:hint="eastAsia"/>
        </w:rPr>
        <w:tab/>
      </w:r>
      <m:oMath>
        <m:r>
          <m:rPr/>
          <w:rPr>
            <w:rFonts w:ascii="Cambria Math" w:hAnsi="Cambria Math"/>
          </w:rPr>
          <m:t>DQR=</m:t>
        </m:r>
        <m:nary>
          <m:naryPr>
            <m:chr m:val="∑"/>
            <m:limLoc m:val="undOvr"/>
            <m:subHide m:val="1"/>
            <m:supHide m:val="1"/>
            <m:ctrlPr>
              <w:rPr>
                <w:rFonts w:ascii="Cambria Math" w:hAnsi="Cambria Math"/>
                <w:i/>
              </w:rPr>
            </m:ctrlPr>
          </m:naryPr>
          <m:sub>
            <m:ctrlPr>
              <w:rPr>
                <w:rFonts w:ascii="Cambria Math" w:hAnsi="Cambria Math"/>
                <w:i/>
              </w:rPr>
            </m:ctrlPr>
          </m:sub>
          <m:sup>
            <m:ctrlPr>
              <w:rPr>
                <w:rFonts w:ascii="Cambria Math" w:hAnsi="Cambria Math"/>
                <w:i/>
              </w:rPr>
            </m:ctrlPr>
          </m:sup>
          <m:e>
            <m:f>
              <m:fPr>
                <m:ctrlPr>
                  <w:rPr>
                    <w:rFonts w:ascii="Cambria Math" w:hAnsi="Cambria Math"/>
                    <w:i/>
                  </w:rPr>
                </m:ctrlPr>
              </m:fPr>
              <m:num>
                <m:sSub>
                  <m:sSubPr>
                    <m:ctrlPr>
                      <w:rPr>
                        <w:rFonts w:ascii="Cambria Math" w:hAnsi="Cambria Math"/>
                        <w:i/>
                      </w:rPr>
                    </m:ctrlPr>
                  </m:sSubPr>
                  <m:e>
                    <m:r>
                      <m:rPr/>
                      <w:rPr>
                        <w:rFonts w:ascii="Cambria Math" w:hAnsi="Cambria Math"/>
                      </w:rPr>
                      <m:t>DQR</m:t>
                    </m:r>
                    <m:ctrlPr>
                      <w:rPr>
                        <w:rFonts w:ascii="Cambria Math" w:hAnsi="Cambria Math"/>
                        <w:i/>
                      </w:rPr>
                    </m:ctrlPr>
                  </m:e>
                  <m:sub>
                    <m:r>
                      <m:rPr/>
                      <w:rPr>
                        <w:rFonts w:ascii="Cambria Math" w:hAnsi="Cambria Math"/>
                      </w:rPr>
                      <m:t>AD,i</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DQR</m:t>
                    </m:r>
                    <m:ctrlPr>
                      <w:rPr>
                        <w:rFonts w:ascii="Cambria Math" w:hAnsi="Cambria Math"/>
                        <w:i/>
                      </w:rPr>
                    </m:ctrlPr>
                  </m:e>
                  <m:sub>
                    <m:r>
                      <m:rPr/>
                      <w:rPr>
                        <w:rFonts w:ascii="Cambria Math" w:hAnsi="Cambria Math"/>
                      </w:rPr>
                      <m:t>EF,i</m:t>
                    </m:r>
                    <m:ctrlPr>
                      <w:rPr>
                        <w:rFonts w:ascii="Cambria Math" w:hAnsi="Cambria Math"/>
                        <w:i/>
                      </w:rPr>
                    </m:ctrlPr>
                  </m:sub>
                </m:sSub>
                <m:ctrlPr>
                  <w:rPr>
                    <w:rFonts w:ascii="Cambria Math" w:hAnsi="Cambria Math"/>
                    <w:i/>
                  </w:rPr>
                </m:ctrlPr>
              </m:num>
              <m:den>
                <m:r>
                  <m:rPr/>
                  <w:rPr>
                    <w:rFonts w:ascii="Cambria Math" w:hAnsi="Cambria Math"/>
                  </w:rPr>
                  <m:t>2</m:t>
                </m:r>
                <m:ctrlPr>
                  <w:rPr>
                    <w:rFonts w:ascii="Cambria Math" w:hAnsi="Cambria Math"/>
                    <w:i/>
                  </w:rPr>
                </m:ctrlPr>
              </m:den>
            </m:f>
            <m:r>
              <m:rPr/>
              <w:rPr>
                <w:rFonts w:ascii="Cambria Math" w:hAnsi="Cambria Math"/>
              </w:rPr>
              <m:t>×</m:t>
            </m:r>
            <m:sSub>
              <m:sSubPr>
                <m:ctrlPr>
                  <w:rPr>
                    <w:rFonts w:ascii="Cambria Math" w:hAnsi="Cambria Math"/>
                    <w:i/>
                  </w:rPr>
                </m:ctrlPr>
              </m:sSubPr>
              <m:e>
                <m:r>
                  <m:rPr/>
                  <w:rPr>
                    <w:rFonts w:ascii="Cambria Math" w:hAnsi="Cambria Math"/>
                  </w:rPr>
                  <m:t>P</m:t>
                </m:r>
                <m:ctrlPr>
                  <w:rPr>
                    <w:rFonts w:ascii="Cambria Math" w:hAnsi="Cambria Math"/>
                    <w:i/>
                  </w:rPr>
                </m:ctrlPr>
              </m:e>
              <m:sub>
                <m:r>
                  <m:rPr/>
                  <w:rPr>
                    <w:rFonts w:ascii="Cambria Math" w:hAnsi="Cambria Math"/>
                  </w:rPr>
                  <m:t>i</m:t>
                </m:r>
                <m:ctrlPr>
                  <w:rPr>
                    <w:rFonts w:ascii="Cambria Math" w:hAnsi="Cambria Math"/>
                    <w:i/>
                  </w:rPr>
                </m:ctrlPr>
              </m:sub>
            </m:sSub>
            <m:ctrlPr>
              <w:rPr>
                <w:rFonts w:ascii="Cambria Math" w:hAnsi="Cambria Math"/>
                <w:i/>
              </w:rPr>
            </m:ctrlPr>
          </m:e>
        </m:nary>
      </m:oMath>
      <w:r>
        <w:rPr>
          <w:rFonts w:hint="eastAsia" w:ascii="微软雅黑" w:hAnsi="微软雅黑" w:eastAsia="微软雅黑"/>
        </w:rPr>
        <w:tab/>
      </w:r>
      <w:r>
        <w:t>(D.</w:t>
      </w:r>
      <w:r>
        <w:fldChar w:fldCharType="begin"/>
      </w:r>
      <w:r>
        <w:instrText xml:space="preserve">  seq fulu_equation_134247657081894201  </w:instrText>
      </w:r>
      <w:r>
        <w:fldChar w:fldCharType="separate"/>
      </w:r>
      <w:r>
        <w:rPr>
          <w:rFonts w:hint="eastAsia"/>
        </w:rPr>
        <w:t>3</w:t>
      </w:r>
      <w:r>
        <w:rPr>
          <w:rFonts w:hint="eastAsia"/>
        </w:rPr>
        <w:fldChar w:fldCharType="end"/>
      </w:r>
      <w:r>
        <w:t>)</w:t>
      </w:r>
    </w:p>
    <w:p w14:paraId="03D67B55">
      <w:pPr>
        <w:pStyle w:val="55"/>
        <w:ind w:firstLine="420"/>
      </w:pPr>
      <w:r>
        <w:rPr>
          <w:rFonts w:hint="eastAsia"/>
        </w:rPr>
        <w:t>式中：</w:t>
      </w:r>
    </w:p>
    <w:p w14:paraId="6119F219">
      <w:pPr>
        <w:pStyle w:val="56"/>
        <w:tabs>
          <w:tab w:val="left" w:pos="1665"/>
        </w:tabs>
        <w:ind w:left="1575" w:leftChars="200" w:hanging="1155" w:hangingChars="550"/>
      </w:pPr>
      <w:r>
        <w:rPr>
          <w:rFonts w:hint="eastAsia"/>
        </w:rPr>
        <w:t>DQR</w:t>
      </w:r>
      <w:r>
        <w:rPr>
          <w:rFonts w:hint="eastAsia"/>
          <w:vertAlign w:val="subscript"/>
        </w:rPr>
        <w:t xml:space="preserve">  </w:t>
      </w:r>
      <w:r>
        <w:rPr>
          <w:vertAlign w:val="subscript"/>
        </w:rPr>
        <w:tab/>
      </w:r>
      <w:r>
        <w:rPr>
          <w:rFonts w:hint="eastAsia"/>
        </w:rPr>
        <w:t>——整体数据质量标准得分，无量纲单位；</w:t>
      </w:r>
    </w:p>
    <w:p w14:paraId="1AE1C7D3">
      <w:pPr>
        <w:pStyle w:val="56"/>
        <w:tabs>
          <w:tab w:val="left" w:pos="1134"/>
        </w:tabs>
        <w:ind w:left="1575" w:leftChars="200" w:hanging="1155" w:hangingChars="550"/>
      </w:pPr>
      <w:r>
        <w:rPr>
          <w:rFonts w:hint="eastAsia"/>
        </w:rPr>
        <w:t>DQR</w:t>
      </w:r>
      <w:r>
        <w:rPr>
          <w:rFonts w:hint="eastAsia"/>
          <w:vertAlign w:val="subscript"/>
        </w:rPr>
        <w:t>AD,i</w:t>
      </w:r>
      <w:r>
        <w:rPr>
          <w:vertAlign w:val="subscript"/>
        </w:rPr>
        <w:tab/>
      </w:r>
      <w:r>
        <w:rPr>
          <w:rFonts w:hint="eastAsia"/>
        </w:rPr>
        <w:t>——核算对象i的活动数据质量标准得分，无量纲单位；</w:t>
      </w:r>
    </w:p>
    <w:p w14:paraId="288342A7">
      <w:pPr>
        <w:pStyle w:val="56"/>
        <w:ind w:left="1575" w:leftChars="200" w:hanging="1155" w:hangingChars="550"/>
      </w:pPr>
      <w:r>
        <w:rPr>
          <w:rFonts w:hint="eastAsia"/>
        </w:rPr>
        <w:t>DQR</w:t>
      </w:r>
      <w:r>
        <w:rPr>
          <w:rFonts w:hint="eastAsia"/>
          <w:vertAlign w:val="subscript"/>
        </w:rPr>
        <w:t>EF,i</w:t>
      </w:r>
      <w:r>
        <w:rPr>
          <w:vertAlign w:val="subscript"/>
        </w:rPr>
        <w:tab/>
      </w:r>
      <w:r>
        <w:rPr>
          <w:rFonts w:hint="eastAsia"/>
        </w:rPr>
        <w:t>——核算对象i的碳足迹因子数据质量标准得分，无量纲单位；</w:t>
      </w:r>
    </w:p>
    <w:p w14:paraId="0A138FCA">
      <w:pPr>
        <w:pStyle w:val="56"/>
        <w:tabs>
          <w:tab w:val="left" w:pos="1665"/>
        </w:tabs>
        <w:ind w:left="1575" w:leftChars="200" w:hanging="1155" w:hangingChars="550"/>
      </w:pPr>
      <w:r>
        <w:rPr>
          <w:rFonts w:hint="eastAsia"/>
        </w:rPr>
        <w:t>P</w:t>
      </w:r>
      <w:r>
        <w:rPr>
          <w:rFonts w:hint="eastAsia"/>
          <w:vertAlign w:val="subscript"/>
        </w:rPr>
        <w:t>i</w:t>
      </w:r>
      <w:r>
        <w:rPr>
          <w:vertAlign w:val="subscript"/>
        </w:rPr>
        <w:tab/>
      </w:r>
      <w:r>
        <w:rPr>
          <w:rFonts w:hint="eastAsia"/>
        </w:rPr>
        <w:t>——核算对象i的温室气体排放量占总排放量的比重，%。</w:t>
      </w:r>
    </w:p>
    <w:p w14:paraId="331928EA">
      <w:pPr>
        <w:pStyle w:val="56"/>
        <w:ind w:firstLine="420"/>
      </w:pPr>
    </w:p>
    <w:p w14:paraId="79CA3848">
      <w:pPr>
        <w:pStyle w:val="56"/>
        <w:ind w:firstLine="420"/>
      </w:pPr>
      <w:r>
        <w:rPr>
          <w:rFonts w:hint="eastAsia"/>
        </w:rPr>
        <w:t>数据质量等级评价见表D.2。</w:t>
      </w:r>
    </w:p>
    <w:p w14:paraId="77EE9D67">
      <w:pPr>
        <w:pStyle w:val="77"/>
        <w:spacing w:before="120" w:after="120"/>
      </w:pPr>
      <w:r>
        <w:rPr>
          <w:rFonts w:hint="eastAsia"/>
        </w:rPr>
        <w:t>整体数据质量标准的数据质量等级评分（DQR）</w:t>
      </w:r>
    </w:p>
    <w:tbl>
      <w:tblPr>
        <w:tblStyle w:val="27"/>
        <w:tblW w:w="93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3"/>
        <w:gridCol w:w="5103"/>
      </w:tblGrid>
      <w:tr w14:paraId="09961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3" w:type="dxa"/>
            <w:tcBorders>
              <w:top w:val="single" w:color="auto" w:sz="8" w:space="0"/>
              <w:left w:val="single" w:color="auto" w:sz="8" w:space="0"/>
              <w:bottom w:val="single" w:color="auto" w:sz="4" w:space="0"/>
              <w:right w:val="single" w:color="auto" w:sz="4" w:space="0"/>
            </w:tcBorders>
          </w:tcPr>
          <w:p w14:paraId="277168F1">
            <w:pPr>
              <w:pStyle w:val="56"/>
              <w:ind w:firstLine="0" w:firstLineChars="0"/>
              <w:jc w:val="center"/>
            </w:pPr>
            <w:r>
              <w:rPr>
                <w:rFonts w:hint="eastAsia"/>
              </w:rPr>
              <w:t>整体数据质量标准得分（DQR）</w:t>
            </w:r>
          </w:p>
        </w:tc>
        <w:tc>
          <w:tcPr>
            <w:tcW w:w="5103" w:type="dxa"/>
            <w:tcBorders>
              <w:top w:val="single" w:color="auto" w:sz="8" w:space="0"/>
              <w:left w:val="single" w:color="auto" w:sz="4" w:space="0"/>
              <w:bottom w:val="single" w:color="auto" w:sz="4" w:space="0"/>
              <w:right w:val="single" w:color="auto" w:sz="8" w:space="0"/>
            </w:tcBorders>
          </w:tcPr>
          <w:p w14:paraId="44D3BA12">
            <w:pPr>
              <w:pStyle w:val="56"/>
              <w:ind w:firstLine="0" w:firstLineChars="0"/>
              <w:jc w:val="center"/>
            </w:pPr>
            <w:r>
              <w:rPr>
                <w:rFonts w:hint="eastAsia"/>
              </w:rPr>
              <w:t>总体数据质量水平</w:t>
            </w:r>
          </w:p>
        </w:tc>
      </w:tr>
      <w:tr w14:paraId="2B191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3" w:type="dxa"/>
            <w:tcBorders>
              <w:top w:val="single" w:color="auto" w:sz="4" w:space="0"/>
              <w:left w:val="single" w:color="auto" w:sz="8" w:space="0"/>
              <w:bottom w:val="single" w:color="auto" w:sz="4" w:space="0"/>
              <w:right w:val="single" w:color="auto" w:sz="4" w:space="0"/>
            </w:tcBorders>
          </w:tcPr>
          <w:p w14:paraId="5E774827">
            <w:pPr>
              <w:pStyle w:val="56"/>
              <w:ind w:firstLine="0" w:firstLineChars="0"/>
              <w:jc w:val="center"/>
            </w:pPr>
            <w:r>
              <w:t>DQR</w:t>
            </w:r>
            <w:r>
              <w:rPr>
                <w:rFonts w:hint="eastAsia"/>
              </w:rPr>
              <w:t>＞</w:t>
            </w:r>
            <w:r>
              <w:t>4</w:t>
            </w:r>
          </w:p>
        </w:tc>
        <w:tc>
          <w:tcPr>
            <w:tcW w:w="5103" w:type="dxa"/>
            <w:tcBorders>
              <w:top w:val="single" w:color="auto" w:sz="4" w:space="0"/>
              <w:left w:val="single" w:color="auto" w:sz="4" w:space="0"/>
              <w:bottom w:val="single" w:color="auto" w:sz="4" w:space="0"/>
              <w:right w:val="single" w:color="auto" w:sz="8" w:space="0"/>
            </w:tcBorders>
          </w:tcPr>
          <w:p w14:paraId="2117DA29">
            <w:pPr>
              <w:pStyle w:val="56"/>
              <w:ind w:firstLine="0" w:firstLineChars="0"/>
              <w:jc w:val="center"/>
            </w:pPr>
            <w:r>
              <w:rPr>
                <w:rFonts w:hint="eastAsia"/>
              </w:rPr>
              <w:t>数据质量高</w:t>
            </w:r>
          </w:p>
        </w:tc>
      </w:tr>
      <w:tr w14:paraId="3C05C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3" w:type="dxa"/>
            <w:tcBorders>
              <w:top w:val="single" w:color="auto" w:sz="4" w:space="0"/>
              <w:left w:val="single" w:color="auto" w:sz="8" w:space="0"/>
              <w:bottom w:val="single" w:color="auto" w:sz="4" w:space="0"/>
              <w:right w:val="single" w:color="auto" w:sz="4" w:space="0"/>
            </w:tcBorders>
          </w:tcPr>
          <w:p w14:paraId="7B8D0639">
            <w:pPr>
              <w:pStyle w:val="56"/>
              <w:ind w:firstLine="0" w:firstLineChars="0"/>
              <w:jc w:val="center"/>
            </w:pPr>
            <w:r>
              <w:rPr>
                <w:rFonts w:hint="eastAsia"/>
              </w:rPr>
              <w:t>3＜DQR≤4</w:t>
            </w:r>
          </w:p>
        </w:tc>
        <w:tc>
          <w:tcPr>
            <w:tcW w:w="5103" w:type="dxa"/>
            <w:tcBorders>
              <w:top w:val="single" w:color="auto" w:sz="4" w:space="0"/>
              <w:left w:val="single" w:color="auto" w:sz="4" w:space="0"/>
              <w:bottom w:val="single" w:color="auto" w:sz="4" w:space="0"/>
              <w:right w:val="single" w:color="auto" w:sz="8" w:space="0"/>
            </w:tcBorders>
          </w:tcPr>
          <w:p w14:paraId="6C34AE0B">
            <w:pPr>
              <w:pStyle w:val="56"/>
              <w:ind w:firstLine="0" w:firstLineChars="0"/>
              <w:jc w:val="center"/>
            </w:pPr>
            <w:r>
              <w:rPr>
                <w:rFonts w:hint="eastAsia"/>
              </w:rPr>
              <w:t>数据质量较高</w:t>
            </w:r>
          </w:p>
        </w:tc>
      </w:tr>
      <w:tr w14:paraId="4B2A1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3" w:type="dxa"/>
            <w:tcBorders>
              <w:top w:val="single" w:color="auto" w:sz="4" w:space="0"/>
              <w:left w:val="single" w:color="auto" w:sz="8" w:space="0"/>
              <w:bottom w:val="single" w:color="auto" w:sz="4" w:space="0"/>
              <w:right w:val="single" w:color="auto" w:sz="4" w:space="0"/>
            </w:tcBorders>
          </w:tcPr>
          <w:p w14:paraId="44B8867C">
            <w:pPr>
              <w:pStyle w:val="56"/>
              <w:ind w:firstLine="0" w:firstLineChars="0"/>
              <w:jc w:val="center"/>
            </w:pPr>
            <w:r>
              <w:rPr>
                <w:rFonts w:hint="eastAsia"/>
              </w:rPr>
              <w:t>2.0＜DQR≤3</w:t>
            </w:r>
          </w:p>
        </w:tc>
        <w:tc>
          <w:tcPr>
            <w:tcW w:w="5103" w:type="dxa"/>
            <w:tcBorders>
              <w:top w:val="single" w:color="auto" w:sz="4" w:space="0"/>
              <w:left w:val="single" w:color="auto" w:sz="4" w:space="0"/>
              <w:bottom w:val="single" w:color="auto" w:sz="4" w:space="0"/>
              <w:right w:val="single" w:color="auto" w:sz="8" w:space="0"/>
            </w:tcBorders>
          </w:tcPr>
          <w:p w14:paraId="760C2666">
            <w:pPr>
              <w:pStyle w:val="56"/>
              <w:ind w:firstLine="0" w:firstLineChars="0"/>
              <w:jc w:val="center"/>
            </w:pPr>
            <w:r>
              <w:rPr>
                <w:rFonts w:hint="eastAsia"/>
              </w:rPr>
              <w:t>数据质量一般</w:t>
            </w:r>
          </w:p>
        </w:tc>
      </w:tr>
      <w:tr w14:paraId="6DC87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3" w:type="dxa"/>
            <w:tcBorders>
              <w:top w:val="single" w:color="auto" w:sz="4" w:space="0"/>
              <w:left w:val="single" w:color="auto" w:sz="8" w:space="0"/>
              <w:bottom w:val="single" w:color="auto" w:sz="4" w:space="0"/>
              <w:right w:val="single" w:color="auto" w:sz="4" w:space="0"/>
            </w:tcBorders>
          </w:tcPr>
          <w:p w14:paraId="27F65A4C">
            <w:pPr>
              <w:pStyle w:val="56"/>
              <w:ind w:firstLine="0" w:firstLineChars="0"/>
              <w:jc w:val="center"/>
            </w:pPr>
            <w:r>
              <w:rPr>
                <w:rFonts w:hint="eastAsia"/>
              </w:rPr>
              <w:t>1.5＜DQR≤2.0</w:t>
            </w:r>
          </w:p>
        </w:tc>
        <w:tc>
          <w:tcPr>
            <w:tcW w:w="5103" w:type="dxa"/>
            <w:tcBorders>
              <w:top w:val="single" w:color="auto" w:sz="4" w:space="0"/>
              <w:left w:val="single" w:color="auto" w:sz="4" w:space="0"/>
              <w:bottom w:val="single" w:color="auto" w:sz="4" w:space="0"/>
              <w:right w:val="single" w:color="auto" w:sz="8" w:space="0"/>
            </w:tcBorders>
          </w:tcPr>
          <w:p w14:paraId="30F2CDA8">
            <w:pPr>
              <w:pStyle w:val="56"/>
              <w:ind w:firstLine="0" w:firstLineChars="0"/>
              <w:jc w:val="center"/>
            </w:pPr>
            <w:r>
              <w:rPr>
                <w:rFonts w:hint="eastAsia"/>
              </w:rPr>
              <w:t>数据质量欠佳</w:t>
            </w:r>
          </w:p>
        </w:tc>
      </w:tr>
      <w:tr w14:paraId="178B6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3" w:type="dxa"/>
            <w:tcBorders>
              <w:top w:val="single" w:color="auto" w:sz="4" w:space="0"/>
              <w:left w:val="single" w:color="auto" w:sz="8" w:space="0"/>
              <w:bottom w:val="single" w:color="auto" w:sz="8" w:space="0"/>
              <w:right w:val="single" w:color="auto" w:sz="4" w:space="0"/>
            </w:tcBorders>
          </w:tcPr>
          <w:p w14:paraId="3F1AE87A">
            <w:pPr>
              <w:pStyle w:val="56"/>
              <w:ind w:firstLine="0" w:firstLineChars="0"/>
              <w:jc w:val="center"/>
            </w:pPr>
            <w:r>
              <w:rPr>
                <w:rFonts w:hint="eastAsia"/>
              </w:rPr>
              <w:t>DQR≤1.5</w:t>
            </w:r>
          </w:p>
        </w:tc>
        <w:tc>
          <w:tcPr>
            <w:tcW w:w="5103" w:type="dxa"/>
            <w:tcBorders>
              <w:top w:val="single" w:color="auto" w:sz="4" w:space="0"/>
              <w:left w:val="single" w:color="auto" w:sz="4" w:space="0"/>
              <w:bottom w:val="single" w:color="auto" w:sz="8" w:space="0"/>
              <w:right w:val="single" w:color="auto" w:sz="8" w:space="0"/>
            </w:tcBorders>
          </w:tcPr>
          <w:p w14:paraId="0655758D">
            <w:pPr>
              <w:pStyle w:val="56"/>
              <w:ind w:firstLine="0" w:firstLineChars="0"/>
              <w:jc w:val="center"/>
            </w:pPr>
            <w:r>
              <w:rPr>
                <w:rFonts w:hint="eastAsia"/>
              </w:rPr>
              <w:t>数据质量差</w:t>
            </w:r>
          </w:p>
        </w:tc>
      </w:tr>
    </w:tbl>
    <w:p w14:paraId="5BE2A267">
      <w:pPr>
        <w:pStyle w:val="56"/>
        <w:ind w:firstLine="420"/>
      </w:pPr>
    </w:p>
    <w:p w14:paraId="1F82B589">
      <w:pPr>
        <w:widowControl/>
        <w:adjustRightInd/>
        <w:spacing w:line="240" w:lineRule="auto"/>
        <w:jc w:val="left"/>
        <w:rPr>
          <w:rFonts w:ascii="Times New Roman" w:hAnsi="Times New Roman"/>
          <w:kern w:val="0"/>
          <w:szCs w:val="20"/>
        </w:rPr>
      </w:pPr>
      <w:r>
        <w:br w:type="page"/>
      </w:r>
    </w:p>
    <w:p w14:paraId="58945166">
      <w:pPr>
        <w:pStyle w:val="198"/>
        <w:rPr>
          <w:rFonts w:hint="eastAsia"/>
          <w:vanish w:val="0"/>
        </w:rPr>
      </w:pPr>
    </w:p>
    <w:p w14:paraId="38252570">
      <w:pPr>
        <w:pStyle w:val="199"/>
        <w:rPr>
          <w:vanish w:val="0"/>
        </w:rPr>
      </w:pPr>
    </w:p>
    <w:p w14:paraId="2DEAD29E">
      <w:pPr>
        <w:pStyle w:val="76"/>
        <w:spacing w:after="120"/>
      </w:pPr>
      <w:r>
        <w:br w:type="textWrapping"/>
      </w:r>
      <w:bookmarkStart w:id="103" w:name="_Toc231215128"/>
      <w:r>
        <w:rPr>
          <w:rFonts w:hint="eastAsia"/>
        </w:rPr>
        <w:t>（资料性）</w:t>
      </w:r>
      <w:r>
        <w:br w:type="textWrapping"/>
      </w:r>
      <w:r>
        <w:rPr>
          <w:rFonts w:hint="eastAsia"/>
        </w:rPr>
        <w:t>服务碳足迹报告（模板）</w:t>
      </w:r>
      <w:bookmarkEnd w:id="103"/>
    </w:p>
    <w:p w14:paraId="6CB026AF">
      <w:pPr>
        <w:pStyle w:val="56"/>
        <w:ind w:firstLine="420"/>
      </w:pPr>
      <w:r>
        <w:rPr>
          <w:rFonts w:hint="eastAsia"/>
        </w:rPr>
        <w:t>服务碳足迹报告格式模板如下。</w:t>
      </w:r>
    </w:p>
    <w:p w14:paraId="6F871282">
      <w:pPr>
        <w:adjustRightInd/>
        <w:spacing w:line="240" w:lineRule="auto"/>
        <w:ind w:firstLine="420" w:firstLineChars="200"/>
        <w:rPr>
          <w:rFonts w:ascii="Times New Roman" w:hAnsi="Times New Roman"/>
        </w:rPr>
      </w:pPr>
    </w:p>
    <w:p w14:paraId="2BDDE968">
      <w:pPr>
        <w:adjustRightInd/>
        <w:spacing w:line="240" w:lineRule="auto"/>
        <w:ind w:firstLine="420" w:firstLineChars="200"/>
        <w:rPr>
          <w:rFonts w:ascii="Times New Roman" w:hAnsi="Times New Roman"/>
        </w:rPr>
      </w:pPr>
      <w:r>
        <w:rPr>
          <w:rFonts w:ascii="Times New Roman" w:hAnsi="Times New Roman"/>
        </w:rPr>
        <w:t xml:space="preserve"> </w:t>
      </w:r>
    </w:p>
    <w:p w14:paraId="7B500F13">
      <w:pPr>
        <w:adjustRightInd/>
        <w:spacing w:line="240" w:lineRule="auto"/>
        <w:ind w:firstLine="420" w:firstLineChars="200"/>
        <w:rPr>
          <w:rFonts w:ascii="Times New Roman" w:hAnsi="Times New Roman"/>
        </w:rPr>
      </w:pPr>
      <w:r>
        <w:rPr>
          <w:rFonts w:ascii="Times New Roman" w:hAnsi="Times New Roman"/>
        </w:rPr>
        <w:t xml:space="preserve"> </w:t>
      </w:r>
    </w:p>
    <w:p w14:paraId="495F3301">
      <w:pPr>
        <w:adjustRightInd/>
        <w:spacing w:line="240" w:lineRule="auto"/>
        <w:ind w:firstLine="420" w:firstLineChars="200"/>
        <w:rPr>
          <w:rFonts w:ascii="Times New Roman" w:hAnsi="Times New Roman"/>
        </w:rPr>
      </w:pPr>
      <w:r>
        <w:rPr>
          <w:rFonts w:ascii="Times New Roman" w:hAnsi="Times New Roman"/>
        </w:rPr>
        <w:t xml:space="preserve"> </w:t>
      </w:r>
    </w:p>
    <w:p w14:paraId="643484CD">
      <w:pPr>
        <w:adjustRightInd/>
        <w:spacing w:line="240" w:lineRule="auto"/>
        <w:ind w:firstLine="420" w:firstLineChars="200"/>
        <w:rPr>
          <w:rFonts w:ascii="Times New Roman" w:hAnsi="Times New Roman"/>
        </w:rPr>
      </w:pPr>
      <w:r>
        <w:rPr>
          <w:rFonts w:ascii="Times New Roman" w:hAnsi="Times New Roman"/>
        </w:rPr>
        <w:t xml:space="preserve"> </w:t>
      </w:r>
    </w:p>
    <w:p w14:paraId="4DD7ABB3">
      <w:pPr>
        <w:adjustRightInd/>
        <w:spacing w:line="240" w:lineRule="auto"/>
        <w:ind w:firstLine="420" w:firstLineChars="200"/>
        <w:rPr>
          <w:rFonts w:ascii="Times New Roman" w:hAnsi="Times New Roman"/>
        </w:rPr>
      </w:pPr>
      <w:r>
        <w:rPr>
          <w:rFonts w:ascii="Times New Roman" w:hAnsi="Times New Roman"/>
        </w:rPr>
        <w:t xml:space="preserve"> </w:t>
      </w:r>
    </w:p>
    <w:p w14:paraId="65E2DC33">
      <w:pPr>
        <w:adjustRightInd/>
        <w:spacing w:line="240" w:lineRule="auto"/>
        <w:ind w:firstLine="420" w:firstLineChars="200"/>
        <w:rPr>
          <w:rFonts w:ascii="Times New Roman" w:hAnsi="Times New Roman"/>
        </w:rPr>
      </w:pPr>
      <w:r>
        <w:rPr>
          <w:rFonts w:ascii="Times New Roman" w:hAnsi="Times New Roman"/>
        </w:rPr>
        <w:t xml:space="preserve"> </w:t>
      </w:r>
    </w:p>
    <w:p w14:paraId="4B267920">
      <w:pPr>
        <w:adjustRightInd/>
        <w:spacing w:line="240" w:lineRule="auto"/>
        <w:ind w:firstLine="420" w:firstLineChars="200"/>
        <w:rPr>
          <w:rFonts w:ascii="Times New Roman" w:hAnsi="Times New Roman"/>
        </w:rPr>
      </w:pPr>
      <w:r>
        <w:rPr>
          <w:rFonts w:ascii="Times New Roman" w:hAnsi="Times New Roman"/>
        </w:rPr>
        <w:t xml:space="preserve"> </w:t>
      </w:r>
    </w:p>
    <w:p w14:paraId="1E01B058">
      <w:pPr>
        <w:adjustRightInd/>
        <w:spacing w:line="240" w:lineRule="auto"/>
        <w:jc w:val="center"/>
        <w:rPr>
          <w:rFonts w:ascii="Times New Roman" w:hAnsi="Times New Roman"/>
          <w:sz w:val="44"/>
          <w:szCs w:val="44"/>
        </w:rPr>
      </w:pPr>
      <w:r>
        <w:rPr>
          <w:rFonts w:hint="eastAsia" w:ascii="宋体" w:hAnsi="宋体"/>
          <w:sz w:val="44"/>
          <w:szCs w:val="44"/>
        </w:rPr>
        <w:t>服务碳足迹报告（模板）</w:t>
      </w:r>
    </w:p>
    <w:p w14:paraId="41D6F324">
      <w:pPr>
        <w:adjustRightInd/>
        <w:spacing w:line="240" w:lineRule="auto"/>
        <w:ind w:firstLine="420" w:firstLineChars="200"/>
        <w:rPr>
          <w:rFonts w:ascii="Times New Roman" w:hAnsi="Times New Roman"/>
        </w:rPr>
      </w:pPr>
      <w:r>
        <w:rPr>
          <w:rFonts w:ascii="Times New Roman" w:hAnsi="Times New Roman"/>
        </w:rPr>
        <w:t xml:space="preserve"> </w:t>
      </w:r>
    </w:p>
    <w:p w14:paraId="6E3A7761">
      <w:pPr>
        <w:adjustRightInd/>
        <w:spacing w:line="240" w:lineRule="auto"/>
        <w:ind w:firstLine="420" w:firstLineChars="200"/>
        <w:rPr>
          <w:rFonts w:ascii="Times New Roman" w:hAnsi="Times New Roman"/>
        </w:rPr>
      </w:pPr>
      <w:r>
        <w:rPr>
          <w:rFonts w:ascii="Times New Roman" w:hAnsi="Times New Roman"/>
        </w:rPr>
        <w:t xml:space="preserve"> </w:t>
      </w:r>
    </w:p>
    <w:p w14:paraId="5402B322">
      <w:pPr>
        <w:adjustRightInd/>
        <w:spacing w:line="240" w:lineRule="auto"/>
        <w:ind w:firstLine="420" w:firstLineChars="200"/>
        <w:rPr>
          <w:rFonts w:ascii="Times New Roman" w:hAnsi="Times New Roman"/>
        </w:rPr>
      </w:pPr>
      <w:r>
        <w:rPr>
          <w:rFonts w:ascii="Times New Roman" w:hAnsi="Times New Roman"/>
        </w:rPr>
        <w:t xml:space="preserve"> </w:t>
      </w:r>
    </w:p>
    <w:p w14:paraId="069EF29A">
      <w:pPr>
        <w:adjustRightInd/>
        <w:spacing w:line="240" w:lineRule="auto"/>
        <w:ind w:firstLine="420" w:firstLineChars="200"/>
        <w:rPr>
          <w:rFonts w:ascii="Times New Roman" w:hAnsi="Times New Roman"/>
        </w:rPr>
      </w:pPr>
      <w:r>
        <w:rPr>
          <w:rFonts w:ascii="Times New Roman" w:hAnsi="Times New Roman"/>
        </w:rPr>
        <w:t xml:space="preserve"> </w:t>
      </w:r>
    </w:p>
    <w:p w14:paraId="1ACDA9DB">
      <w:pPr>
        <w:adjustRightInd/>
        <w:spacing w:line="240" w:lineRule="auto"/>
        <w:ind w:firstLine="420" w:firstLineChars="200"/>
        <w:rPr>
          <w:rFonts w:ascii="Times New Roman" w:hAnsi="Times New Roman"/>
        </w:rPr>
      </w:pPr>
      <w:r>
        <w:rPr>
          <w:rFonts w:ascii="Times New Roman" w:hAnsi="Times New Roman"/>
        </w:rPr>
        <w:t xml:space="preserve"> </w:t>
      </w:r>
    </w:p>
    <w:p w14:paraId="5EF9FAF7">
      <w:pPr>
        <w:adjustRightInd/>
        <w:spacing w:line="240" w:lineRule="auto"/>
        <w:ind w:firstLine="420" w:firstLineChars="200"/>
        <w:rPr>
          <w:rFonts w:ascii="Times New Roman" w:hAnsi="Times New Roman"/>
        </w:rPr>
      </w:pPr>
      <w:r>
        <w:rPr>
          <w:rFonts w:ascii="Times New Roman" w:hAnsi="Times New Roman"/>
        </w:rPr>
        <w:t xml:space="preserve"> </w:t>
      </w:r>
    </w:p>
    <w:p w14:paraId="371DCFB7">
      <w:pPr>
        <w:adjustRightInd/>
        <w:spacing w:line="240" w:lineRule="auto"/>
        <w:ind w:firstLine="420" w:firstLineChars="200"/>
        <w:rPr>
          <w:rFonts w:ascii="Times New Roman" w:hAnsi="Times New Roman"/>
        </w:rPr>
      </w:pPr>
      <w:r>
        <w:rPr>
          <w:rFonts w:ascii="Times New Roman" w:hAnsi="Times New Roman"/>
        </w:rPr>
        <w:t xml:space="preserve"> </w:t>
      </w:r>
    </w:p>
    <w:p w14:paraId="0DB66E3C">
      <w:pPr>
        <w:adjustRightInd/>
        <w:spacing w:line="240" w:lineRule="auto"/>
        <w:ind w:firstLine="420" w:firstLineChars="200"/>
        <w:rPr>
          <w:rFonts w:ascii="Times New Roman" w:hAnsi="Times New Roman"/>
        </w:rPr>
      </w:pPr>
      <w:r>
        <w:rPr>
          <w:rFonts w:ascii="Times New Roman" w:hAnsi="Times New Roman"/>
        </w:rPr>
        <w:t xml:space="preserve"> </w:t>
      </w:r>
    </w:p>
    <w:p w14:paraId="2AAFA39A">
      <w:pPr>
        <w:tabs>
          <w:tab w:val="left" w:pos="2410"/>
        </w:tabs>
        <w:adjustRightInd/>
        <w:spacing w:line="360" w:lineRule="auto"/>
        <w:jc w:val="center"/>
        <w:rPr>
          <w:rFonts w:ascii="Times New Roman" w:hAnsi="Times New Roman"/>
          <w:sz w:val="24"/>
          <w:szCs w:val="24"/>
        </w:rPr>
      </w:pPr>
      <w:r>
        <w:rPr>
          <w:rFonts w:hint="eastAsia" w:ascii="宋体" w:hAnsi="宋体"/>
          <w:spacing w:val="24"/>
          <w:kern w:val="0"/>
          <w:sz w:val="24"/>
          <w:szCs w:val="24"/>
        </w:rPr>
        <w:t>服务过程名</w:t>
      </w:r>
      <w:r>
        <w:rPr>
          <w:rFonts w:hint="eastAsia" w:ascii="宋体" w:hAnsi="宋体"/>
          <w:kern w:val="0"/>
          <w:sz w:val="24"/>
          <w:szCs w:val="24"/>
        </w:rPr>
        <w:t>称</w:t>
      </w:r>
      <w:r>
        <w:rPr>
          <w:rFonts w:hint="eastAsia" w:ascii="宋体" w:hAnsi="宋体"/>
          <w:sz w:val="24"/>
          <w:szCs w:val="24"/>
        </w:rPr>
        <w:t>：</w:t>
      </w:r>
      <w:r>
        <w:rPr>
          <w:rFonts w:hint="eastAsia" w:ascii="Times New Roman" w:hAnsi="Times New Roman"/>
          <w:sz w:val="24"/>
          <w:szCs w:val="24"/>
        </w:rPr>
        <w:t>____________________________________</w:t>
      </w:r>
    </w:p>
    <w:p w14:paraId="2F242071">
      <w:pPr>
        <w:tabs>
          <w:tab w:val="left" w:pos="2410"/>
        </w:tabs>
        <w:adjustRightInd/>
        <w:spacing w:line="360" w:lineRule="auto"/>
        <w:jc w:val="center"/>
        <w:rPr>
          <w:rFonts w:ascii="Times New Roman" w:hAnsi="Times New Roman"/>
          <w:sz w:val="24"/>
          <w:szCs w:val="24"/>
        </w:rPr>
      </w:pPr>
      <w:r>
        <w:rPr>
          <w:rFonts w:hint="eastAsia" w:ascii="宋体" w:hAnsi="宋体"/>
          <w:kern w:val="0"/>
          <w:sz w:val="24"/>
          <w:szCs w:val="24"/>
        </w:rPr>
        <w:t>服务供应商名称</w:t>
      </w:r>
      <w:r>
        <w:rPr>
          <w:rFonts w:hint="eastAsia" w:ascii="宋体" w:hAnsi="宋体"/>
          <w:sz w:val="24"/>
          <w:szCs w:val="24"/>
        </w:rPr>
        <w:t>：</w:t>
      </w:r>
      <w:r>
        <w:rPr>
          <w:rFonts w:hint="eastAsia" w:ascii="Times New Roman" w:hAnsi="Times New Roman"/>
          <w:sz w:val="24"/>
          <w:szCs w:val="24"/>
        </w:rPr>
        <w:t>____________________________________</w:t>
      </w:r>
    </w:p>
    <w:p w14:paraId="17FD4C32">
      <w:pPr>
        <w:tabs>
          <w:tab w:val="left" w:pos="2410"/>
        </w:tabs>
        <w:adjustRightInd/>
        <w:spacing w:line="360" w:lineRule="auto"/>
        <w:jc w:val="center"/>
        <w:rPr>
          <w:rFonts w:ascii="Times New Roman" w:hAnsi="Times New Roman"/>
          <w:sz w:val="24"/>
          <w:szCs w:val="24"/>
        </w:rPr>
      </w:pPr>
      <w:r>
        <w:rPr>
          <w:rFonts w:hint="eastAsia" w:ascii="宋体" w:hAnsi="宋体"/>
          <w:spacing w:val="120"/>
          <w:kern w:val="0"/>
          <w:sz w:val="24"/>
          <w:szCs w:val="24"/>
        </w:rPr>
        <w:t>报告编</w:t>
      </w:r>
      <w:r>
        <w:rPr>
          <w:rFonts w:hint="eastAsia" w:ascii="宋体" w:hAnsi="宋体"/>
          <w:kern w:val="0"/>
          <w:sz w:val="24"/>
          <w:szCs w:val="24"/>
        </w:rPr>
        <w:t>号</w:t>
      </w:r>
      <w:r>
        <w:rPr>
          <w:rFonts w:hint="eastAsia" w:ascii="宋体" w:hAnsi="宋体"/>
          <w:sz w:val="24"/>
          <w:szCs w:val="24"/>
        </w:rPr>
        <w:t>：</w:t>
      </w:r>
      <w:r>
        <w:rPr>
          <w:rFonts w:hint="eastAsia" w:ascii="Times New Roman" w:hAnsi="Times New Roman"/>
          <w:sz w:val="24"/>
          <w:szCs w:val="24"/>
        </w:rPr>
        <w:t>____________________________________</w:t>
      </w:r>
    </w:p>
    <w:p w14:paraId="6B60D608">
      <w:pPr>
        <w:adjustRightInd/>
        <w:spacing w:line="273" w:lineRule="auto"/>
        <w:ind w:firstLine="480" w:firstLineChars="200"/>
        <w:rPr>
          <w:rFonts w:ascii="Times New Roman" w:hAnsi="Times New Roman"/>
          <w:sz w:val="24"/>
          <w:szCs w:val="24"/>
        </w:rPr>
      </w:pPr>
      <w:r>
        <w:rPr>
          <w:rFonts w:ascii="Times New Roman" w:hAnsi="Times New Roman"/>
          <w:sz w:val="24"/>
          <w:szCs w:val="24"/>
        </w:rPr>
        <w:t xml:space="preserve"> </w:t>
      </w:r>
    </w:p>
    <w:p w14:paraId="7CFFCFC3">
      <w:pPr>
        <w:adjustRightInd/>
        <w:spacing w:line="273" w:lineRule="auto"/>
        <w:ind w:firstLine="480" w:firstLineChars="200"/>
        <w:rPr>
          <w:rFonts w:ascii="Times New Roman" w:hAnsi="Times New Roman"/>
          <w:sz w:val="24"/>
          <w:szCs w:val="24"/>
        </w:rPr>
      </w:pPr>
      <w:r>
        <w:rPr>
          <w:rFonts w:ascii="Times New Roman" w:hAnsi="Times New Roman"/>
          <w:sz w:val="24"/>
          <w:szCs w:val="24"/>
        </w:rPr>
        <w:t xml:space="preserve"> </w:t>
      </w:r>
    </w:p>
    <w:p w14:paraId="4C934496">
      <w:pPr>
        <w:adjustRightInd/>
        <w:spacing w:line="273" w:lineRule="auto"/>
        <w:ind w:firstLine="480" w:firstLineChars="200"/>
        <w:rPr>
          <w:rFonts w:ascii="Times New Roman" w:hAnsi="Times New Roman"/>
          <w:sz w:val="24"/>
          <w:szCs w:val="24"/>
        </w:rPr>
      </w:pPr>
    </w:p>
    <w:p w14:paraId="0C462C14">
      <w:pPr>
        <w:adjustRightInd/>
        <w:spacing w:line="273" w:lineRule="auto"/>
        <w:ind w:firstLine="480" w:firstLineChars="200"/>
        <w:rPr>
          <w:rFonts w:ascii="Times New Roman" w:hAnsi="Times New Roman"/>
          <w:sz w:val="24"/>
          <w:szCs w:val="24"/>
        </w:rPr>
      </w:pPr>
    </w:p>
    <w:p w14:paraId="038A4C24">
      <w:pPr>
        <w:adjustRightInd/>
        <w:spacing w:line="273" w:lineRule="auto"/>
        <w:ind w:firstLine="480" w:firstLineChars="200"/>
        <w:rPr>
          <w:rFonts w:ascii="Times New Roman" w:hAnsi="Times New Roman"/>
          <w:sz w:val="24"/>
          <w:szCs w:val="24"/>
        </w:rPr>
      </w:pPr>
    </w:p>
    <w:p w14:paraId="24CF2774">
      <w:pPr>
        <w:adjustRightInd/>
        <w:spacing w:line="273" w:lineRule="auto"/>
        <w:ind w:firstLine="480" w:firstLineChars="200"/>
        <w:rPr>
          <w:rFonts w:ascii="Times New Roman" w:hAnsi="Times New Roman"/>
          <w:sz w:val="24"/>
          <w:szCs w:val="24"/>
        </w:rPr>
      </w:pPr>
    </w:p>
    <w:p w14:paraId="2AB67FC0">
      <w:pPr>
        <w:adjustRightInd/>
        <w:spacing w:line="273" w:lineRule="auto"/>
        <w:ind w:firstLine="480" w:firstLineChars="200"/>
        <w:rPr>
          <w:rFonts w:ascii="Times New Roman" w:hAnsi="Times New Roman"/>
          <w:sz w:val="24"/>
          <w:szCs w:val="24"/>
        </w:rPr>
      </w:pPr>
    </w:p>
    <w:p w14:paraId="66D53543">
      <w:pPr>
        <w:adjustRightInd/>
        <w:spacing w:line="273" w:lineRule="auto"/>
        <w:ind w:firstLine="480" w:firstLineChars="200"/>
        <w:rPr>
          <w:rFonts w:ascii="Times New Roman" w:hAnsi="Times New Roman"/>
          <w:sz w:val="24"/>
          <w:szCs w:val="24"/>
        </w:rPr>
      </w:pPr>
    </w:p>
    <w:p w14:paraId="7CD26A8A">
      <w:pPr>
        <w:adjustRightInd/>
        <w:spacing w:line="273" w:lineRule="auto"/>
        <w:ind w:firstLine="480" w:firstLineChars="200"/>
        <w:rPr>
          <w:rFonts w:ascii="Times New Roman" w:hAnsi="Times New Roman"/>
          <w:sz w:val="24"/>
          <w:szCs w:val="24"/>
        </w:rPr>
      </w:pPr>
      <w:r>
        <w:rPr>
          <w:rFonts w:ascii="Times New Roman" w:hAnsi="Times New Roman"/>
          <w:sz w:val="24"/>
          <w:szCs w:val="24"/>
        </w:rPr>
        <w:t xml:space="preserve"> </w:t>
      </w:r>
    </w:p>
    <w:p w14:paraId="2F4E3655">
      <w:pPr>
        <w:adjustRightInd/>
        <w:spacing w:line="273" w:lineRule="auto"/>
        <w:ind w:firstLine="480" w:firstLineChars="200"/>
        <w:rPr>
          <w:rFonts w:ascii="Times New Roman" w:hAnsi="Times New Roman"/>
          <w:sz w:val="24"/>
          <w:szCs w:val="24"/>
        </w:rPr>
      </w:pPr>
      <w:r>
        <w:rPr>
          <w:rFonts w:ascii="Times New Roman" w:hAnsi="Times New Roman"/>
          <w:sz w:val="24"/>
          <w:szCs w:val="24"/>
        </w:rPr>
        <w:t xml:space="preserve"> </w:t>
      </w:r>
    </w:p>
    <w:p w14:paraId="66871AA4">
      <w:pPr>
        <w:adjustRightInd/>
        <w:spacing w:line="273" w:lineRule="auto"/>
        <w:ind w:firstLine="480" w:firstLineChars="200"/>
        <w:rPr>
          <w:rFonts w:ascii="Times New Roman" w:hAnsi="Times New Roman"/>
          <w:sz w:val="24"/>
          <w:szCs w:val="24"/>
        </w:rPr>
      </w:pPr>
      <w:r>
        <w:rPr>
          <w:rFonts w:ascii="Times New Roman" w:hAnsi="Times New Roman"/>
          <w:sz w:val="24"/>
          <w:szCs w:val="24"/>
        </w:rPr>
        <w:t xml:space="preserve"> </w:t>
      </w:r>
    </w:p>
    <w:p w14:paraId="6815F585">
      <w:pPr>
        <w:adjustRightInd/>
        <w:spacing w:line="273" w:lineRule="auto"/>
        <w:ind w:firstLine="480" w:firstLineChars="200"/>
        <w:rPr>
          <w:rFonts w:ascii="Times New Roman" w:hAnsi="Times New Roman"/>
          <w:sz w:val="24"/>
          <w:szCs w:val="24"/>
        </w:rPr>
      </w:pPr>
      <w:r>
        <w:rPr>
          <w:rFonts w:ascii="Times New Roman" w:hAnsi="Times New Roman"/>
          <w:sz w:val="24"/>
          <w:szCs w:val="24"/>
        </w:rPr>
        <w:t xml:space="preserve"> </w:t>
      </w:r>
    </w:p>
    <w:p w14:paraId="2D78D765">
      <w:pPr>
        <w:adjustRightInd/>
        <w:spacing w:line="273" w:lineRule="auto"/>
        <w:ind w:firstLine="480" w:firstLineChars="200"/>
        <w:rPr>
          <w:rFonts w:ascii="Times New Roman" w:hAnsi="Times New Roman"/>
          <w:sz w:val="24"/>
          <w:szCs w:val="24"/>
        </w:rPr>
      </w:pPr>
      <w:r>
        <w:rPr>
          <w:rFonts w:ascii="Times New Roman" w:hAnsi="Times New Roman"/>
          <w:sz w:val="24"/>
          <w:szCs w:val="24"/>
        </w:rPr>
        <w:t xml:space="preserve"> </w:t>
      </w:r>
    </w:p>
    <w:p w14:paraId="0FEBFCA2">
      <w:pPr>
        <w:adjustRightInd/>
        <w:spacing w:line="273" w:lineRule="auto"/>
        <w:ind w:firstLine="480" w:firstLineChars="200"/>
        <w:rPr>
          <w:rFonts w:ascii="Times New Roman" w:hAnsi="Times New Roman"/>
          <w:sz w:val="24"/>
          <w:szCs w:val="24"/>
        </w:rPr>
      </w:pPr>
      <w:r>
        <w:rPr>
          <w:rFonts w:ascii="Times New Roman" w:hAnsi="Times New Roman"/>
          <w:sz w:val="24"/>
          <w:szCs w:val="24"/>
        </w:rPr>
        <w:t xml:space="preserve"> </w:t>
      </w:r>
    </w:p>
    <w:p w14:paraId="6B479C81">
      <w:pPr>
        <w:adjustRightInd/>
        <w:spacing w:line="273" w:lineRule="auto"/>
        <w:ind w:firstLine="480" w:firstLineChars="200"/>
        <w:rPr>
          <w:rFonts w:ascii="Times New Roman" w:hAnsi="Times New Roman"/>
          <w:sz w:val="24"/>
          <w:szCs w:val="24"/>
        </w:rPr>
      </w:pPr>
      <w:r>
        <w:rPr>
          <w:rFonts w:ascii="Times New Roman" w:hAnsi="Times New Roman"/>
          <w:sz w:val="24"/>
          <w:szCs w:val="24"/>
        </w:rPr>
        <w:t xml:space="preserve"> </w:t>
      </w:r>
    </w:p>
    <w:p w14:paraId="354BEFE8">
      <w:pPr>
        <w:adjustRightInd/>
        <w:spacing w:line="360" w:lineRule="auto"/>
        <w:ind w:firstLine="480" w:firstLineChars="200"/>
        <w:jc w:val="right"/>
        <w:rPr>
          <w:rFonts w:ascii="Times New Roman" w:hAnsi="Times New Roman"/>
          <w:sz w:val="24"/>
          <w:szCs w:val="24"/>
        </w:rPr>
      </w:pPr>
      <w:r>
        <w:rPr>
          <w:rFonts w:hint="eastAsia" w:ascii="宋体" w:hAnsi="宋体"/>
          <w:sz w:val="24"/>
          <w:szCs w:val="24"/>
        </w:rPr>
        <w:t>出具报告机构：（如有）</w:t>
      </w:r>
      <w:r>
        <w:rPr>
          <w:rFonts w:hint="eastAsia" w:ascii="Times New Roman" w:hAnsi="Times New Roman"/>
          <w:sz w:val="24"/>
          <w:szCs w:val="24"/>
        </w:rPr>
        <w:t>________________</w:t>
      </w:r>
      <w:r>
        <w:rPr>
          <w:rFonts w:hint="eastAsia" w:ascii="宋体" w:hAnsi="宋体"/>
          <w:sz w:val="24"/>
          <w:szCs w:val="24"/>
        </w:rPr>
        <w:t>（盖章）</w:t>
      </w:r>
    </w:p>
    <w:p w14:paraId="3D3F789D">
      <w:pPr>
        <w:adjustRightInd/>
        <w:spacing w:line="360" w:lineRule="auto"/>
        <w:ind w:firstLine="480" w:firstLineChars="200"/>
        <w:jc w:val="right"/>
        <w:rPr>
          <w:rFonts w:ascii="Times New Roman" w:hAnsi="Times New Roman"/>
          <w:sz w:val="24"/>
          <w:szCs w:val="24"/>
        </w:rPr>
      </w:pPr>
      <w:r>
        <w:rPr>
          <w:rFonts w:hint="eastAsia" w:ascii="宋体" w:hAnsi="宋体"/>
          <w:sz w:val="24"/>
          <w:szCs w:val="24"/>
        </w:rPr>
        <w:t>日期：</w:t>
      </w:r>
      <w:r>
        <w:rPr>
          <w:rFonts w:hint="eastAsia" w:ascii="Times New Roman" w:hAnsi="Times New Roman"/>
          <w:sz w:val="24"/>
          <w:szCs w:val="24"/>
        </w:rPr>
        <w:t>_______</w:t>
      </w:r>
      <w:r>
        <w:rPr>
          <w:rFonts w:hint="eastAsia" w:ascii="宋体" w:hAnsi="宋体"/>
          <w:sz w:val="24"/>
          <w:szCs w:val="24"/>
        </w:rPr>
        <w:t>年</w:t>
      </w:r>
      <w:r>
        <w:rPr>
          <w:rFonts w:hint="eastAsia" w:ascii="Times New Roman" w:hAnsi="Times New Roman"/>
          <w:sz w:val="24"/>
          <w:szCs w:val="24"/>
        </w:rPr>
        <w:t>________</w:t>
      </w:r>
      <w:r>
        <w:rPr>
          <w:rFonts w:hint="eastAsia" w:ascii="宋体" w:hAnsi="宋体"/>
          <w:sz w:val="24"/>
          <w:szCs w:val="24"/>
        </w:rPr>
        <w:t>月</w:t>
      </w:r>
      <w:r>
        <w:rPr>
          <w:rFonts w:hint="eastAsia" w:ascii="Times New Roman" w:hAnsi="Times New Roman"/>
          <w:sz w:val="24"/>
          <w:szCs w:val="24"/>
        </w:rPr>
        <w:t>________</w:t>
      </w:r>
      <w:r>
        <w:rPr>
          <w:rFonts w:hint="eastAsia" w:ascii="宋体" w:hAnsi="宋体"/>
          <w:sz w:val="24"/>
          <w:szCs w:val="24"/>
        </w:rPr>
        <w:t>日</w:t>
      </w:r>
    </w:p>
    <w:p w14:paraId="4702F700">
      <w:pPr>
        <w:adjustRightInd/>
        <w:spacing w:line="240" w:lineRule="auto"/>
        <w:ind w:firstLine="420" w:firstLineChars="200"/>
        <w:rPr>
          <w:rFonts w:ascii="Times New Roman" w:hAnsi="Times New Roman"/>
        </w:rPr>
      </w:pPr>
      <w:r>
        <w:rPr>
          <w:rFonts w:ascii="Times New Roman" w:hAnsi="Times New Roman"/>
        </w:rPr>
        <w:br w:type="page"/>
      </w:r>
    </w:p>
    <w:p w14:paraId="57CA9E47">
      <w:pPr>
        <w:pStyle w:val="233"/>
        <w:numPr>
          <w:ilvl w:val="0"/>
          <w:numId w:val="32"/>
        </w:numPr>
        <w:tabs>
          <w:tab w:val="left" w:pos="567"/>
        </w:tabs>
        <w:adjustRightInd/>
        <w:spacing w:before="240" w:after="240" w:line="240" w:lineRule="auto"/>
        <w:ind w:firstLineChars="0"/>
        <w:contextualSpacing/>
        <w:rPr>
          <w:rFonts w:hint="eastAsia" w:ascii="黑体" w:hAnsi="黑体" w:eastAsia="黑体"/>
        </w:rPr>
      </w:pPr>
      <w:r>
        <w:rPr>
          <w:rFonts w:hint="eastAsia" w:ascii="黑体" w:hAnsi="黑体" w:eastAsia="黑体"/>
        </w:rPr>
        <w:t>概况</w:t>
      </w:r>
    </w:p>
    <w:p w14:paraId="1326FD7C">
      <w:pPr>
        <w:adjustRightInd/>
        <w:spacing w:line="240" w:lineRule="auto"/>
        <w:ind w:firstLine="420" w:firstLineChars="200"/>
        <w:contextualSpacing/>
        <w:rPr>
          <w:rFonts w:hint="eastAsia" w:ascii="黑体" w:hAnsi="黑体" w:eastAsia="黑体"/>
        </w:rPr>
      </w:pPr>
      <w:r>
        <w:rPr>
          <w:rFonts w:hint="eastAsia" w:ascii="黑体" w:hAnsi="黑体" w:eastAsia="黑体"/>
        </w:rPr>
        <w:t>1.生产者信息</w:t>
      </w:r>
    </w:p>
    <w:p w14:paraId="63F6063B">
      <w:pPr>
        <w:tabs>
          <w:tab w:val="left" w:pos="1701"/>
        </w:tabs>
        <w:adjustRightInd/>
        <w:spacing w:line="240" w:lineRule="auto"/>
        <w:ind w:left="420" w:leftChars="200"/>
        <w:rPr>
          <w:rFonts w:ascii="Times New Roman" w:hAnsi="Times New Roman"/>
        </w:rPr>
      </w:pPr>
      <w:r>
        <w:rPr>
          <w:rFonts w:hint="eastAsia" w:ascii="宋体" w:hAnsi="宋体"/>
          <w:spacing w:val="78"/>
          <w:kern w:val="0"/>
        </w:rPr>
        <w:t>生产者名</w:t>
      </w:r>
      <w:r>
        <w:rPr>
          <w:rFonts w:hint="eastAsia" w:ascii="宋体" w:hAnsi="宋体"/>
          <w:spacing w:val="3"/>
          <w:kern w:val="0"/>
        </w:rPr>
        <w:t>称</w:t>
      </w:r>
      <w:r>
        <w:rPr>
          <w:rFonts w:ascii="Times New Roman" w:hAnsi="Times New Roman"/>
          <w:kern w:val="0"/>
        </w:rPr>
        <w:tab/>
      </w:r>
      <w:r>
        <w:rPr>
          <w:rFonts w:hint="eastAsia" w:ascii="Times New Roman" w:hAnsi="Times New Roman"/>
          <w:kern w:val="0"/>
        </w:rPr>
        <w:t xml:space="preserve">    </w:t>
      </w:r>
      <w:r>
        <w:rPr>
          <w:rFonts w:hint="eastAsia" w:ascii="宋体" w:hAnsi="宋体"/>
        </w:rPr>
        <w:t>：</w:t>
      </w:r>
      <w:r>
        <w:rPr>
          <w:rFonts w:hint="eastAsia" w:ascii="Times New Roman" w:hAnsi="Times New Roman"/>
        </w:rPr>
        <w:t>____________________________</w:t>
      </w:r>
    </w:p>
    <w:p w14:paraId="322E9559">
      <w:pPr>
        <w:tabs>
          <w:tab w:val="left" w:pos="1701"/>
        </w:tabs>
        <w:adjustRightInd/>
        <w:spacing w:line="240" w:lineRule="auto"/>
        <w:ind w:left="420" w:leftChars="200"/>
        <w:rPr>
          <w:rFonts w:ascii="Times New Roman" w:hAnsi="Times New Roman"/>
        </w:rPr>
      </w:pPr>
      <w:r>
        <w:rPr>
          <w:rFonts w:hint="eastAsia" w:ascii="宋体" w:hAnsi="宋体"/>
          <w:spacing w:val="630"/>
          <w:kern w:val="0"/>
        </w:rPr>
        <w:t>地</w:t>
      </w:r>
      <w:r>
        <w:rPr>
          <w:rFonts w:hint="eastAsia" w:ascii="宋体" w:hAnsi="宋体"/>
          <w:kern w:val="0"/>
        </w:rPr>
        <w:t xml:space="preserve">址    </w:t>
      </w:r>
      <w:r>
        <w:rPr>
          <w:rFonts w:hint="eastAsia" w:ascii="宋体" w:hAnsi="宋体"/>
        </w:rPr>
        <w:t>：</w:t>
      </w:r>
      <w:r>
        <w:rPr>
          <w:rFonts w:hint="eastAsia" w:ascii="Times New Roman" w:hAnsi="Times New Roman"/>
        </w:rPr>
        <w:t>____________________________</w:t>
      </w:r>
    </w:p>
    <w:p w14:paraId="402453B8">
      <w:pPr>
        <w:tabs>
          <w:tab w:val="left" w:pos="1701"/>
        </w:tabs>
        <w:adjustRightInd/>
        <w:spacing w:line="240" w:lineRule="auto"/>
        <w:ind w:left="420" w:leftChars="200"/>
        <w:rPr>
          <w:rFonts w:ascii="Times New Roman" w:hAnsi="Times New Roman"/>
        </w:rPr>
      </w:pPr>
      <w:r>
        <w:rPr>
          <w:rFonts w:hint="eastAsia" w:ascii="宋体" w:hAnsi="宋体"/>
          <w:spacing w:val="78"/>
          <w:kern w:val="0"/>
        </w:rPr>
        <w:t>法定代表</w:t>
      </w:r>
      <w:r>
        <w:rPr>
          <w:rFonts w:hint="eastAsia" w:ascii="宋体" w:hAnsi="宋体"/>
          <w:spacing w:val="3"/>
          <w:kern w:val="0"/>
        </w:rPr>
        <w:t xml:space="preserve">人   </w:t>
      </w:r>
      <w:r>
        <w:rPr>
          <w:rFonts w:ascii="Times New Roman" w:hAnsi="Times New Roman"/>
          <w:spacing w:val="630"/>
          <w:kern w:val="0"/>
        </w:rPr>
        <w:tab/>
      </w:r>
      <w:r>
        <w:rPr>
          <w:rFonts w:hint="eastAsia" w:ascii="宋体" w:hAnsi="宋体"/>
        </w:rPr>
        <w:t>：</w:t>
      </w:r>
      <w:r>
        <w:rPr>
          <w:rFonts w:hint="eastAsia" w:ascii="Times New Roman" w:hAnsi="Times New Roman"/>
        </w:rPr>
        <w:t>____________________________</w:t>
      </w:r>
    </w:p>
    <w:p w14:paraId="4CAC9242">
      <w:pPr>
        <w:tabs>
          <w:tab w:val="left" w:pos="1701"/>
        </w:tabs>
        <w:adjustRightInd/>
        <w:spacing w:line="240" w:lineRule="auto"/>
        <w:ind w:left="420" w:leftChars="200"/>
        <w:rPr>
          <w:rFonts w:ascii="Times New Roman" w:hAnsi="Times New Roman"/>
        </w:rPr>
      </w:pPr>
      <w:r>
        <w:rPr>
          <w:rFonts w:hint="eastAsia" w:ascii="宋体" w:hAnsi="宋体"/>
          <w:kern w:val="0"/>
        </w:rPr>
        <w:t>授权人（联系人）</w:t>
      </w:r>
      <w:r>
        <w:rPr>
          <w:rFonts w:ascii="Times New Roman" w:hAnsi="Times New Roman"/>
        </w:rPr>
        <w:tab/>
      </w:r>
      <w:r>
        <w:rPr>
          <w:rFonts w:hint="eastAsia" w:ascii="宋体" w:hAnsi="宋体"/>
        </w:rPr>
        <w:t>：</w:t>
      </w:r>
      <w:r>
        <w:rPr>
          <w:rFonts w:hint="eastAsia" w:ascii="Times New Roman" w:hAnsi="Times New Roman"/>
        </w:rPr>
        <w:t>____________________________</w:t>
      </w:r>
    </w:p>
    <w:p w14:paraId="1373D4B5">
      <w:pPr>
        <w:tabs>
          <w:tab w:val="left" w:pos="1701"/>
        </w:tabs>
        <w:adjustRightInd/>
        <w:spacing w:line="240" w:lineRule="auto"/>
        <w:ind w:left="420" w:leftChars="200"/>
        <w:rPr>
          <w:rFonts w:ascii="Times New Roman" w:hAnsi="Times New Roman"/>
        </w:rPr>
      </w:pPr>
      <w:r>
        <w:rPr>
          <w:rFonts w:hint="eastAsia" w:ascii="宋体" w:hAnsi="宋体"/>
          <w:spacing w:val="140"/>
          <w:kern w:val="0"/>
        </w:rPr>
        <w:t>联系电</w:t>
      </w:r>
      <w:r>
        <w:rPr>
          <w:rFonts w:hint="eastAsia" w:ascii="宋体" w:hAnsi="宋体"/>
          <w:kern w:val="0"/>
        </w:rPr>
        <w:t>话</w:t>
      </w:r>
      <w:r>
        <w:rPr>
          <w:rFonts w:ascii="Times New Roman" w:hAnsi="Times New Roman"/>
          <w:spacing w:val="79"/>
          <w:kern w:val="0"/>
        </w:rPr>
        <w:tab/>
      </w:r>
      <w:r>
        <w:rPr>
          <w:rFonts w:hint="eastAsia" w:ascii="宋体" w:hAnsi="宋体"/>
        </w:rPr>
        <w:t>：</w:t>
      </w:r>
      <w:r>
        <w:rPr>
          <w:rFonts w:hint="eastAsia" w:ascii="Times New Roman" w:hAnsi="Times New Roman"/>
        </w:rPr>
        <w:t>____________________________</w:t>
      </w:r>
    </w:p>
    <w:p w14:paraId="5DB3D85A">
      <w:pPr>
        <w:tabs>
          <w:tab w:val="left" w:pos="1701"/>
        </w:tabs>
        <w:adjustRightInd/>
        <w:spacing w:line="240" w:lineRule="auto"/>
        <w:ind w:left="420" w:leftChars="200"/>
        <w:rPr>
          <w:rFonts w:ascii="Times New Roman" w:hAnsi="Times New Roman"/>
        </w:rPr>
      </w:pPr>
      <w:r>
        <w:rPr>
          <w:rFonts w:hint="eastAsia" w:ascii="宋体" w:hAnsi="宋体"/>
          <w:spacing w:val="140"/>
          <w:kern w:val="0"/>
        </w:rPr>
        <w:t>企业概</w:t>
      </w:r>
      <w:r>
        <w:rPr>
          <w:rFonts w:hint="eastAsia" w:ascii="宋体" w:hAnsi="宋体"/>
          <w:kern w:val="0"/>
        </w:rPr>
        <w:t>况</w:t>
      </w:r>
      <w:r>
        <w:rPr>
          <w:rFonts w:ascii="Times New Roman" w:hAnsi="Times New Roman"/>
          <w:spacing w:val="140"/>
          <w:kern w:val="0"/>
        </w:rPr>
        <w:tab/>
      </w:r>
      <w:r>
        <w:rPr>
          <w:rFonts w:hint="eastAsia" w:ascii="宋体" w:hAnsi="宋体"/>
        </w:rPr>
        <w:t>：</w:t>
      </w:r>
      <w:r>
        <w:rPr>
          <w:rFonts w:hint="eastAsia" w:ascii="Times New Roman" w:hAnsi="Times New Roman"/>
        </w:rPr>
        <w:t>____________________________</w:t>
      </w:r>
    </w:p>
    <w:p w14:paraId="577FE22A">
      <w:pPr>
        <w:adjustRightInd/>
        <w:spacing w:before="100" w:beforeAutospacing="1" w:after="100" w:afterAutospacing="1" w:line="360" w:lineRule="auto"/>
        <w:ind w:left="420" w:leftChars="200"/>
        <w:contextualSpacing/>
        <w:rPr>
          <w:rFonts w:hint="eastAsia" w:ascii="黑体" w:hAnsi="黑体" w:eastAsia="黑体"/>
        </w:rPr>
      </w:pPr>
      <w:r>
        <w:rPr>
          <w:rFonts w:hint="eastAsia" w:ascii="黑体" w:hAnsi="黑体" w:eastAsia="黑体"/>
        </w:rPr>
        <w:t>2.服务信息</w:t>
      </w:r>
    </w:p>
    <w:p w14:paraId="60144D8E">
      <w:pPr>
        <w:tabs>
          <w:tab w:val="left" w:pos="1701"/>
        </w:tabs>
        <w:adjustRightInd/>
        <w:spacing w:line="273" w:lineRule="auto"/>
        <w:ind w:left="420" w:leftChars="200"/>
        <w:rPr>
          <w:rFonts w:ascii="Times New Roman" w:hAnsi="Times New Roman"/>
        </w:rPr>
      </w:pPr>
      <w:r>
        <w:rPr>
          <w:rFonts w:hint="eastAsia" w:ascii="宋体" w:hAnsi="宋体"/>
          <w:spacing w:val="140"/>
          <w:kern w:val="0"/>
        </w:rPr>
        <w:t>服务名</w:t>
      </w:r>
      <w:r>
        <w:rPr>
          <w:rFonts w:hint="eastAsia" w:ascii="宋体" w:hAnsi="宋体"/>
          <w:kern w:val="0"/>
        </w:rPr>
        <w:t>称</w:t>
      </w:r>
      <w:r>
        <w:rPr>
          <w:rFonts w:ascii="Times New Roman" w:hAnsi="Times New Roman"/>
          <w:kern w:val="0"/>
        </w:rPr>
        <w:tab/>
      </w:r>
      <w:r>
        <w:rPr>
          <w:rFonts w:hint="eastAsia" w:ascii="宋体" w:hAnsi="宋体"/>
        </w:rPr>
        <w:t>：</w:t>
      </w:r>
      <w:r>
        <w:rPr>
          <w:rFonts w:hint="eastAsia" w:ascii="Times New Roman" w:hAnsi="Times New Roman"/>
        </w:rPr>
        <w:t>____________________________</w:t>
      </w:r>
    </w:p>
    <w:p w14:paraId="05F03ACC">
      <w:pPr>
        <w:tabs>
          <w:tab w:val="left" w:pos="1701"/>
        </w:tabs>
        <w:adjustRightInd/>
        <w:spacing w:line="273" w:lineRule="auto"/>
        <w:ind w:left="420" w:leftChars="200"/>
        <w:rPr>
          <w:rFonts w:ascii="Times New Roman" w:hAnsi="Times New Roman"/>
        </w:rPr>
      </w:pPr>
      <w:r>
        <w:rPr>
          <w:rFonts w:hint="eastAsia" w:ascii="宋体" w:hAnsi="宋体"/>
          <w:spacing w:val="140"/>
          <w:kern w:val="0"/>
        </w:rPr>
        <w:t>服务功</w:t>
      </w:r>
      <w:r>
        <w:rPr>
          <w:rFonts w:hint="eastAsia" w:ascii="宋体" w:hAnsi="宋体"/>
          <w:kern w:val="0"/>
        </w:rPr>
        <w:t>能</w:t>
      </w:r>
      <w:r>
        <w:rPr>
          <w:rFonts w:ascii="Times New Roman" w:hAnsi="Times New Roman"/>
          <w:kern w:val="0"/>
        </w:rPr>
        <w:tab/>
      </w:r>
      <w:r>
        <w:rPr>
          <w:rFonts w:hint="eastAsia" w:ascii="宋体" w:hAnsi="宋体"/>
        </w:rPr>
        <w:t>：</w:t>
      </w:r>
      <w:r>
        <w:rPr>
          <w:rFonts w:hint="eastAsia" w:ascii="Times New Roman" w:hAnsi="Times New Roman"/>
        </w:rPr>
        <w:t>____________________________</w:t>
      </w:r>
    </w:p>
    <w:p w14:paraId="6C0C6166">
      <w:pPr>
        <w:tabs>
          <w:tab w:val="left" w:pos="1701"/>
        </w:tabs>
        <w:adjustRightInd/>
        <w:spacing w:line="273" w:lineRule="auto"/>
        <w:ind w:left="420" w:leftChars="200"/>
        <w:rPr>
          <w:rFonts w:ascii="Times New Roman" w:hAnsi="Times New Roman"/>
        </w:rPr>
      </w:pPr>
      <w:r>
        <w:rPr>
          <w:rFonts w:hint="eastAsia" w:ascii="宋体" w:hAnsi="宋体"/>
          <w:spacing w:val="140"/>
          <w:kern w:val="0"/>
        </w:rPr>
        <w:t>服务介</w:t>
      </w:r>
      <w:r>
        <w:rPr>
          <w:rFonts w:hint="eastAsia" w:ascii="宋体" w:hAnsi="宋体"/>
          <w:kern w:val="0"/>
        </w:rPr>
        <w:t>绍</w:t>
      </w:r>
      <w:r>
        <w:rPr>
          <w:rFonts w:ascii="Times New Roman" w:hAnsi="Times New Roman"/>
          <w:kern w:val="0"/>
        </w:rPr>
        <w:tab/>
      </w:r>
      <w:r>
        <w:rPr>
          <w:rFonts w:hint="eastAsia" w:ascii="宋体" w:hAnsi="宋体"/>
        </w:rPr>
        <w:t>：</w:t>
      </w:r>
      <w:r>
        <w:rPr>
          <w:rFonts w:hint="eastAsia" w:ascii="Times New Roman" w:hAnsi="Times New Roman"/>
        </w:rPr>
        <w:t>____________________________</w:t>
      </w:r>
    </w:p>
    <w:p w14:paraId="32017639">
      <w:pPr>
        <w:tabs>
          <w:tab w:val="left" w:pos="1701"/>
        </w:tabs>
        <w:adjustRightInd/>
        <w:spacing w:line="273" w:lineRule="auto"/>
        <w:ind w:left="420" w:leftChars="200"/>
        <w:rPr>
          <w:rFonts w:ascii="Times New Roman" w:hAnsi="Times New Roman"/>
        </w:rPr>
      </w:pPr>
      <w:r>
        <w:rPr>
          <w:rFonts w:hint="eastAsia" w:ascii="宋体" w:hAnsi="宋体"/>
          <w:spacing w:val="140"/>
          <w:kern w:val="0"/>
        </w:rPr>
        <w:t>服务图</w:t>
      </w:r>
      <w:r>
        <w:rPr>
          <w:rFonts w:hint="eastAsia" w:ascii="宋体" w:hAnsi="宋体"/>
          <w:kern w:val="0"/>
        </w:rPr>
        <w:t>片</w:t>
      </w:r>
      <w:r>
        <w:rPr>
          <w:rFonts w:ascii="Times New Roman" w:hAnsi="Times New Roman"/>
          <w:kern w:val="0"/>
        </w:rPr>
        <w:tab/>
      </w:r>
      <w:r>
        <w:rPr>
          <w:rFonts w:hint="eastAsia" w:ascii="宋体" w:hAnsi="宋体"/>
        </w:rPr>
        <w:t>：</w:t>
      </w:r>
      <w:r>
        <w:rPr>
          <w:rFonts w:hint="eastAsia" w:ascii="Times New Roman" w:hAnsi="Times New Roman"/>
        </w:rPr>
        <w:t>____________________________</w:t>
      </w:r>
    </w:p>
    <w:p w14:paraId="7D213F65">
      <w:pPr>
        <w:adjustRightInd/>
        <w:spacing w:before="100" w:beforeAutospacing="1" w:after="100" w:afterAutospacing="1" w:line="360" w:lineRule="auto"/>
        <w:ind w:left="420" w:leftChars="200"/>
        <w:contextualSpacing/>
        <w:rPr>
          <w:rFonts w:hint="eastAsia" w:ascii="黑体" w:hAnsi="黑体" w:eastAsia="黑体"/>
        </w:rPr>
      </w:pPr>
      <w:r>
        <w:rPr>
          <w:rFonts w:hint="eastAsia" w:ascii="黑体" w:hAnsi="黑体" w:eastAsia="黑体"/>
        </w:rPr>
        <w:t>3.量化方法</w:t>
      </w:r>
    </w:p>
    <w:p w14:paraId="7F8A0BF6">
      <w:pPr>
        <w:tabs>
          <w:tab w:val="left" w:pos="1701"/>
        </w:tabs>
        <w:adjustRightInd/>
        <w:spacing w:line="273" w:lineRule="auto"/>
        <w:ind w:left="420" w:leftChars="200"/>
        <w:rPr>
          <w:rFonts w:ascii="Times New Roman" w:hAnsi="Times New Roman"/>
        </w:rPr>
      </w:pPr>
      <w:r>
        <w:rPr>
          <w:rFonts w:hint="eastAsia" w:ascii="宋体" w:hAnsi="宋体"/>
          <w:spacing w:val="140"/>
          <w:kern w:val="0"/>
        </w:rPr>
        <w:t>依据标</w:t>
      </w:r>
      <w:r>
        <w:rPr>
          <w:rFonts w:hint="eastAsia" w:ascii="宋体" w:hAnsi="宋体"/>
          <w:kern w:val="0"/>
        </w:rPr>
        <w:t>准</w:t>
      </w:r>
      <w:r>
        <w:rPr>
          <w:rFonts w:ascii="Times New Roman" w:hAnsi="Times New Roman"/>
          <w:kern w:val="0"/>
        </w:rPr>
        <w:tab/>
      </w:r>
      <w:r>
        <w:rPr>
          <w:rFonts w:hint="eastAsia" w:ascii="宋体" w:hAnsi="宋体"/>
        </w:rPr>
        <w:t>：</w:t>
      </w:r>
      <w:r>
        <w:rPr>
          <w:rFonts w:hint="eastAsia" w:ascii="Times New Roman" w:hAnsi="Times New Roman"/>
        </w:rPr>
        <w:t>____________________________</w:t>
      </w:r>
    </w:p>
    <w:p w14:paraId="6DF9C963">
      <w:pPr>
        <w:pStyle w:val="233"/>
        <w:numPr>
          <w:ilvl w:val="0"/>
          <w:numId w:val="32"/>
        </w:numPr>
        <w:tabs>
          <w:tab w:val="left" w:pos="567"/>
        </w:tabs>
        <w:adjustRightInd/>
        <w:spacing w:before="240" w:after="240" w:line="240" w:lineRule="auto"/>
        <w:ind w:firstLineChars="0"/>
        <w:contextualSpacing/>
        <w:rPr>
          <w:rFonts w:hint="eastAsia" w:ascii="黑体" w:hAnsi="黑体" w:eastAsia="黑体"/>
        </w:rPr>
      </w:pPr>
      <w:r>
        <w:rPr>
          <w:rFonts w:hint="eastAsia" w:ascii="黑体" w:hAnsi="黑体" w:eastAsia="黑体"/>
        </w:rPr>
        <w:t>量化目的</w:t>
      </w:r>
    </w:p>
    <w:p w14:paraId="22AFBFE5">
      <w:pPr>
        <w:adjustRightInd/>
        <w:spacing w:line="240" w:lineRule="auto"/>
        <w:ind w:left="420" w:leftChars="200"/>
        <w:rPr>
          <w:rFonts w:ascii="Times New Roman" w:hAnsi="Times New Roman"/>
          <w:u w:val="single"/>
        </w:rPr>
      </w:pPr>
      <w:r>
        <w:rPr>
          <w:rFonts w:hint="eastAsia" w:ascii="Times New Roman" w:hAnsi="Times New Roman"/>
          <w:u w:val="single"/>
        </w:rPr>
        <w:t>____________________________</w:t>
      </w:r>
    </w:p>
    <w:p w14:paraId="4B618171">
      <w:pPr>
        <w:pStyle w:val="233"/>
        <w:numPr>
          <w:ilvl w:val="0"/>
          <w:numId w:val="32"/>
        </w:numPr>
        <w:tabs>
          <w:tab w:val="left" w:pos="567"/>
        </w:tabs>
        <w:adjustRightInd/>
        <w:spacing w:before="240" w:after="240" w:line="240" w:lineRule="auto"/>
        <w:ind w:firstLineChars="0"/>
        <w:contextualSpacing/>
        <w:rPr>
          <w:rFonts w:hint="eastAsia" w:ascii="黑体" w:hAnsi="黑体" w:eastAsia="黑体"/>
        </w:rPr>
      </w:pPr>
      <w:r>
        <w:rPr>
          <w:rFonts w:hint="eastAsia" w:ascii="黑体" w:hAnsi="黑体" w:eastAsia="黑体"/>
        </w:rPr>
        <w:t>量化范围</w:t>
      </w:r>
    </w:p>
    <w:p w14:paraId="76AFB04D">
      <w:pPr>
        <w:adjustRightInd/>
        <w:spacing w:before="100" w:beforeAutospacing="1" w:after="100" w:afterAutospacing="1" w:line="360" w:lineRule="auto"/>
        <w:ind w:left="420" w:leftChars="200"/>
        <w:contextualSpacing/>
        <w:rPr>
          <w:rFonts w:hint="eastAsia" w:ascii="黑体" w:hAnsi="黑体" w:eastAsia="黑体"/>
        </w:rPr>
      </w:pPr>
      <w:r>
        <w:rPr>
          <w:rFonts w:hint="eastAsia" w:ascii="黑体" w:hAnsi="黑体" w:eastAsia="黑体"/>
        </w:rPr>
        <w:t>1.功能单位</w:t>
      </w:r>
    </w:p>
    <w:p w14:paraId="4D0B7B86">
      <w:pPr>
        <w:adjustRightInd/>
        <w:spacing w:line="240" w:lineRule="auto"/>
        <w:ind w:left="420" w:leftChars="200"/>
        <w:rPr>
          <w:rFonts w:ascii="Times New Roman" w:hAnsi="Times New Roman"/>
        </w:rPr>
      </w:pPr>
      <w:r>
        <w:rPr>
          <w:rFonts w:hint="eastAsia" w:ascii="宋体" w:hAnsi="宋体"/>
        </w:rPr>
        <w:t>以</w:t>
      </w:r>
      <w:r>
        <w:rPr>
          <w:rFonts w:hint="eastAsia" w:ascii="Times New Roman" w:hAnsi="Times New Roman"/>
        </w:rPr>
        <w:t>______________</w:t>
      </w:r>
      <w:r>
        <w:rPr>
          <w:rFonts w:hint="eastAsia" w:ascii="宋体" w:hAnsi="宋体"/>
        </w:rPr>
        <w:t>为功能单位</w:t>
      </w:r>
    </w:p>
    <w:p w14:paraId="4C8E9FC4">
      <w:pPr>
        <w:adjustRightInd/>
        <w:spacing w:before="100" w:beforeAutospacing="1" w:after="100" w:afterAutospacing="1" w:line="360" w:lineRule="auto"/>
        <w:ind w:left="420" w:leftChars="200"/>
        <w:contextualSpacing/>
        <w:rPr>
          <w:rFonts w:hint="eastAsia" w:ascii="黑体" w:hAnsi="黑体" w:eastAsia="黑体"/>
        </w:rPr>
      </w:pPr>
      <w:r>
        <w:rPr>
          <w:rFonts w:hint="eastAsia" w:ascii="黑体" w:hAnsi="黑体" w:eastAsia="黑体"/>
        </w:rPr>
        <w:t>2.系统边界</w:t>
      </w:r>
    </w:p>
    <w:p w14:paraId="1694051C">
      <w:pPr>
        <w:adjustRightInd/>
        <w:spacing w:line="240" w:lineRule="auto"/>
        <w:ind w:left="420" w:leftChars="200"/>
        <w:rPr>
          <w:rFonts w:ascii="Times New Roman" w:hAnsi="Times New Roman"/>
        </w:rPr>
      </w:pPr>
      <w:r>
        <w:rPr>
          <w:rFonts w:hint="eastAsia" w:ascii="宋体" w:hAnsi="宋体"/>
        </w:rPr>
        <w:t>□ 原材料获取阶段</w:t>
      </w:r>
      <w:r>
        <w:rPr>
          <w:rFonts w:ascii="Times New Roman" w:hAnsi="Times New Roman"/>
        </w:rPr>
        <w:tab/>
      </w:r>
      <w:r>
        <w:rPr>
          <w:rFonts w:hint="eastAsia" w:ascii="宋体" w:hAnsi="宋体"/>
        </w:rPr>
        <w:t>□生产阶段</w:t>
      </w:r>
    </w:p>
    <w:p w14:paraId="4794D405">
      <w:pPr>
        <w:adjustRightInd/>
        <w:spacing w:before="100" w:beforeAutospacing="1" w:after="100" w:afterAutospacing="1" w:line="360" w:lineRule="auto"/>
        <w:ind w:left="420" w:leftChars="200"/>
        <w:contextualSpacing/>
        <w:rPr>
          <w:rFonts w:hint="eastAsia" w:ascii="黑体" w:hAnsi="黑体" w:eastAsia="黑体"/>
        </w:rPr>
      </w:pPr>
      <w:r>
        <w:rPr>
          <w:rFonts w:hint="eastAsia" w:ascii="黑体" w:hAnsi="黑体" w:eastAsia="黑体"/>
        </w:rPr>
        <w:t>3.取舍准则</w:t>
      </w:r>
    </w:p>
    <w:p w14:paraId="33969D48">
      <w:pPr>
        <w:adjustRightInd/>
        <w:spacing w:line="240" w:lineRule="auto"/>
        <w:ind w:left="420" w:leftChars="200"/>
        <w:rPr>
          <w:rFonts w:ascii="Times New Roman" w:hAnsi="Times New Roman"/>
        </w:rPr>
      </w:pPr>
      <w:r>
        <w:rPr>
          <w:rFonts w:hint="eastAsia" w:ascii="宋体" w:hAnsi="宋体"/>
        </w:rPr>
        <w:t>采取的取舍准则以</w:t>
      </w:r>
      <w:r>
        <w:rPr>
          <w:rFonts w:hint="eastAsia" w:ascii="Times New Roman" w:hAnsi="Times New Roman"/>
        </w:rPr>
        <w:t>_______________</w:t>
      </w:r>
      <w:r>
        <w:rPr>
          <w:rFonts w:hint="eastAsia" w:ascii="宋体" w:hAnsi="宋体"/>
        </w:rPr>
        <w:t>为依据，具体规则如下：</w:t>
      </w:r>
    </w:p>
    <w:p w14:paraId="341CA85A">
      <w:pPr>
        <w:adjustRightInd/>
        <w:spacing w:before="100" w:beforeAutospacing="1" w:after="100" w:afterAutospacing="1" w:line="360" w:lineRule="auto"/>
        <w:ind w:left="420" w:leftChars="200"/>
        <w:contextualSpacing/>
        <w:rPr>
          <w:rFonts w:hint="eastAsia" w:ascii="黑体" w:hAnsi="黑体" w:eastAsia="黑体"/>
        </w:rPr>
      </w:pPr>
      <w:r>
        <w:rPr>
          <w:rFonts w:hint="eastAsia" w:ascii="黑体" w:hAnsi="黑体" w:eastAsia="黑体"/>
        </w:rPr>
        <w:t>4.时间范围</w:t>
      </w:r>
    </w:p>
    <w:p w14:paraId="4A734C54">
      <w:pPr>
        <w:adjustRightInd/>
        <w:spacing w:line="240" w:lineRule="auto"/>
        <w:ind w:left="420" w:leftChars="200"/>
        <w:rPr>
          <w:rFonts w:ascii="Times New Roman" w:hAnsi="Times New Roman"/>
        </w:rPr>
      </w:pPr>
      <w:r>
        <w:rPr>
          <w:rFonts w:hint="eastAsia" w:ascii="Times New Roman" w:hAnsi="Times New Roman"/>
        </w:rPr>
        <w:t>_____________</w:t>
      </w:r>
      <w:r>
        <w:rPr>
          <w:rFonts w:hint="eastAsia" w:ascii="宋体" w:hAnsi="宋体"/>
        </w:rPr>
        <w:t>年度。</w:t>
      </w:r>
    </w:p>
    <w:p w14:paraId="4443FEDE">
      <w:pPr>
        <w:pStyle w:val="233"/>
        <w:numPr>
          <w:ilvl w:val="0"/>
          <w:numId w:val="32"/>
        </w:numPr>
        <w:tabs>
          <w:tab w:val="left" w:pos="567"/>
        </w:tabs>
        <w:adjustRightInd/>
        <w:spacing w:before="240" w:after="240" w:line="240" w:lineRule="auto"/>
        <w:ind w:leftChars="200" w:firstLineChars="0"/>
        <w:contextualSpacing/>
        <w:rPr>
          <w:rFonts w:hint="eastAsia" w:ascii="黑体" w:hAnsi="黑体" w:eastAsia="黑体"/>
        </w:rPr>
      </w:pPr>
      <w:r>
        <w:rPr>
          <w:rFonts w:hint="eastAsia" w:ascii="黑体" w:hAnsi="黑体" w:eastAsia="黑体"/>
        </w:rPr>
        <w:t>清单分析</w:t>
      </w:r>
    </w:p>
    <w:p w14:paraId="7F956801">
      <w:pPr>
        <w:adjustRightInd/>
        <w:spacing w:before="100" w:beforeAutospacing="1" w:after="100" w:afterAutospacing="1" w:line="360" w:lineRule="auto"/>
        <w:ind w:left="420" w:leftChars="200"/>
        <w:contextualSpacing/>
        <w:rPr>
          <w:rFonts w:hint="eastAsia" w:ascii="黑体" w:hAnsi="黑体" w:eastAsia="黑体"/>
        </w:rPr>
      </w:pPr>
      <w:r>
        <w:rPr>
          <w:rFonts w:hint="eastAsia" w:ascii="黑体" w:hAnsi="黑体" w:eastAsia="黑体"/>
        </w:rPr>
        <w:t>1.数据来源说明</w:t>
      </w:r>
    </w:p>
    <w:p w14:paraId="21C3FB01">
      <w:pPr>
        <w:adjustRightInd/>
        <w:spacing w:line="240" w:lineRule="auto"/>
        <w:ind w:left="420" w:leftChars="200"/>
        <w:rPr>
          <w:rFonts w:ascii="Times New Roman" w:hAnsi="Times New Roman"/>
        </w:rPr>
      </w:pPr>
      <w:r>
        <w:rPr>
          <w:rFonts w:hint="eastAsia" w:ascii="宋体" w:hAnsi="宋体"/>
        </w:rPr>
        <w:t>活动数据：</w:t>
      </w:r>
      <w:r>
        <w:rPr>
          <w:rFonts w:hint="eastAsia" w:ascii="Times New Roman" w:hAnsi="Times New Roman"/>
        </w:rPr>
        <w:t>_______________</w:t>
      </w:r>
    </w:p>
    <w:p w14:paraId="76812CF4">
      <w:pPr>
        <w:adjustRightInd/>
        <w:spacing w:line="240" w:lineRule="auto"/>
        <w:ind w:left="420" w:leftChars="200"/>
        <w:rPr>
          <w:rFonts w:ascii="Times New Roman" w:hAnsi="Times New Roman"/>
        </w:rPr>
      </w:pPr>
      <w:r>
        <w:rPr>
          <w:rFonts w:hint="eastAsia" w:ascii="宋体" w:hAnsi="宋体"/>
        </w:rPr>
        <w:t>碳足迹因子：</w:t>
      </w:r>
      <w:r>
        <w:rPr>
          <w:rFonts w:hint="eastAsia" w:ascii="Times New Roman" w:hAnsi="Times New Roman"/>
        </w:rPr>
        <w:t>_______________</w:t>
      </w:r>
    </w:p>
    <w:p w14:paraId="54A67371">
      <w:pPr>
        <w:adjustRightInd/>
        <w:spacing w:before="100" w:beforeAutospacing="1" w:after="100" w:afterAutospacing="1" w:line="360" w:lineRule="auto"/>
        <w:ind w:left="420" w:leftChars="200"/>
        <w:contextualSpacing/>
        <w:rPr>
          <w:rFonts w:hint="eastAsia" w:ascii="黑体" w:hAnsi="黑体" w:eastAsia="黑体"/>
        </w:rPr>
      </w:pPr>
      <w:r>
        <w:rPr>
          <w:rFonts w:hint="eastAsia" w:ascii="黑体" w:hAnsi="黑体" w:eastAsia="黑体"/>
        </w:rPr>
        <w:t>2.分配原则与程序</w:t>
      </w:r>
    </w:p>
    <w:p w14:paraId="10A797FC">
      <w:pPr>
        <w:adjustRightInd/>
        <w:spacing w:line="240" w:lineRule="auto"/>
        <w:ind w:left="420" w:leftChars="200"/>
        <w:rPr>
          <w:rFonts w:ascii="Times New Roman" w:hAnsi="Times New Roman"/>
        </w:rPr>
      </w:pPr>
      <w:r>
        <w:rPr>
          <w:rFonts w:hint="eastAsia" w:ascii="宋体" w:hAnsi="宋体"/>
        </w:rPr>
        <w:t>分配依据：</w:t>
      </w:r>
      <w:r>
        <w:rPr>
          <w:rFonts w:hint="eastAsia" w:ascii="Times New Roman" w:hAnsi="Times New Roman"/>
        </w:rPr>
        <w:t>_______________</w:t>
      </w:r>
    </w:p>
    <w:p w14:paraId="087E6189">
      <w:pPr>
        <w:adjustRightInd/>
        <w:spacing w:line="240" w:lineRule="auto"/>
        <w:ind w:left="420" w:leftChars="200"/>
        <w:rPr>
          <w:rFonts w:ascii="Times New Roman" w:hAnsi="Times New Roman"/>
        </w:rPr>
      </w:pPr>
      <w:r>
        <w:rPr>
          <w:rFonts w:hint="eastAsia" w:ascii="宋体" w:hAnsi="宋体"/>
        </w:rPr>
        <w:t>分配程序：</w:t>
      </w:r>
      <w:r>
        <w:rPr>
          <w:rFonts w:hint="eastAsia" w:ascii="Times New Roman" w:hAnsi="Times New Roman"/>
        </w:rPr>
        <w:t>_______________</w:t>
      </w:r>
    </w:p>
    <w:p w14:paraId="73708714">
      <w:pPr>
        <w:adjustRightInd/>
        <w:spacing w:line="240" w:lineRule="auto"/>
        <w:ind w:left="420" w:leftChars="200"/>
        <w:rPr>
          <w:rFonts w:ascii="Times New Roman" w:hAnsi="Times New Roman"/>
        </w:rPr>
      </w:pPr>
      <w:r>
        <w:rPr>
          <w:rFonts w:hint="eastAsia" w:ascii="宋体" w:hAnsi="宋体"/>
        </w:rPr>
        <w:t>具体分配情况如下：</w:t>
      </w:r>
    </w:p>
    <w:p w14:paraId="3EFB00F4">
      <w:pPr>
        <w:adjustRightInd/>
        <w:spacing w:before="100" w:beforeAutospacing="1" w:after="100" w:afterAutospacing="1" w:line="360" w:lineRule="auto"/>
        <w:ind w:left="420" w:leftChars="200"/>
        <w:contextualSpacing/>
        <w:rPr>
          <w:rFonts w:hint="eastAsia" w:ascii="黑体" w:hAnsi="黑体" w:eastAsia="黑体"/>
        </w:rPr>
      </w:pPr>
      <w:r>
        <w:rPr>
          <w:rFonts w:hint="eastAsia" w:ascii="黑体" w:hAnsi="黑体" w:eastAsia="黑体"/>
        </w:rPr>
        <w:t>3.清单结果及计算</w:t>
      </w:r>
    </w:p>
    <w:p w14:paraId="3E605FB1">
      <w:pPr>
        <w:adjustRightInd/>
        <w:spacing w:line="240" w:lineRule="auto"/>
        <w:ind w:left="420" w:leftChars="200"/>
        <w:rPr>
          <w:rFonts w:ascii="Times New Roman" w:hAnsi="Times New Roman"/>
        </w:rPr>
      </w:pPr>
      <w:r>
        <w:rPr>
          <w:rFonts w:hint="eastAsia" w:ascii="宋体" w:hAnsi="宋体"/>
        </w:rPr>
        <w:t>生命周期各个阶段碳排放计算说明见表</w:t>
      </w:r>
      <w:r>
        <w:rPr>
          <w:rFonts w:hint="eastAsia" w:ascii="Times New Roman" w:hAnsi="Times New Roman"/>
        </w:rPr>
        <w:t>1</w:t>
      </w:r>
      <w:r>
        <w:rPr>
          <w:rFonts w:hint="eastAsia" w:ascii="宋体" w:hAnsi="宋体"/>
        </w:rPr>
        <w:t>。</w:t>
      </w:r>
    </w:p>
    <w:p w14:paraId="1243D4FB">
      <w:pPr>
        <w:keepNext/>
        <w:adjustRightInd/>
        <w:spacing w:line="240" w:lineRule="auto"/>
        <w:jc w:val="center"/>
        <w:rPr>
          <w:rFonts w:hint="eastAsia" w:ascii="黑体" w:hAnsi="黑体" w:eastAsia="黑体"/>
          <w:sz w:val="20"/>
          <w:szCs w:val="20"/>
        </w:rPr>
      </w:pPr>
      <w:r>
        <w:rPr>
          <w:rFonts w:hint="eastAsia" w:ascii="黑体" w:hAnsi="黑体" w:eastAsia="黑体"/>
          <w:sz w:val="20"/>
          <w:szCs w:val="20"/>
        </w:rPr>
        <w:t>表1 _____________声明周期碳排放清单说明</w:t>
      </w:r>
    </w:p>
    <w:tbl>
      <w:tblPr>
        <w:tblStyle w:val="231"/>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154"/>
        <w:gridCol w:w="2044"/>
        <w:gridCol w:w="2044"/>
        <w:gridCol w:w="2044"/>
      </w:tblGrid>
      <w:tr w14:paraId="706399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Pr>
        <w:tc>
          <w:tcPr>
            <w:tcW w:w="2154" w:type="dxa"/>
            <w:tcBorders>
              <w:top w:val="single" w:color="auto" w:sz="8" w:space="0"/>
              <w:left w:val="single" w:color="auto" w:sz="8" w:space="0"/>
              <w:bottom w:val="single" w:color="auto" w:sz="4" w:space="0"/>
              <w:right w:val="single" w:color="auto" w:sz="4" w:space="0"/>
            </w:tcBorders>
            <w:vAlign w:val="center"/>
          </w:tcPr>
          <w:p w14:paraId="4F4E6631">
            <w:pPr>
              <w:adjustRightInd/>
              <w:spacing w:line="240" w:lineRule="auto"/>
              <w:jc w:val="center"/>
              <w:rPr>
                <w:rFonts w:ascii="Times New Roman" w:hAnsi="Times New Roman" w:eastAsia="Times New Roman"/>
                <w:sz w:val="18"/>
                <w:szCs w:val="18"/>
              </w:rPr>
            </w:pPr>
            <w:r>
              <w:rPr>
                <w:rFonts w:hint="eastAsia" w:ascii="宋体" w:hAnsi="宋体" w:eastAsia="Times New Roman"/>
                <w:sz w:val="18"/>
                <w:szCs w:val="18"/>
              </w:rPr>
              <w:t>生命周期阶段</w:t>
            </w:r>
          </w:p>
        </w:tc>
        <w:tc>
          <w:tcPr>
            <w:tcW w:w="2044" w:type="dxa"/>
            <w:tcBorders>
              <w:top w:val="single" w:color="auto" w:sz="8" w:space="0"/>
              <w:left w:val="single" w:color="auto" w:sz="4" w:space="0"/>
              <w:bottom w:val="single" w:color="auto" w:sz="4" w:space="0"/>
              <w:right w:val="single" w:color="auto" w:sz="4" w:space="0"/>
            </w:tcBorders>
            <w:vAlign w:val="center"/>
          </w:tcPr>
          <w:p w14:paraId="0DB34ACF">
            <w:pPr>
              <w:adjustRightInd/>
              <w:spacing w:line="240" w:lineRule="auto"/>
              <w:jc w:val="center"/>
              <w:rPr>
                <w:rFonts w:ascii="Times New Roman" w:hAnsi="Times New Roman" w:eastAsia="Times New Roman"/>
                <w:sz w:val="18"/>
                <w:szCs w:val="18"/>
              </w:rPr>
            </w:pPr>
            <w:r>
              <w:rPr>
                <w:rFonts w:hint="eastAsia" w:ascii="宋体" w:hAnsi="宋体" w:eastAsia="Times New Roman"/>
                <w:sz w:val="18"/>
                <w:szCs w:val="18"/>
              </w:rPr>
              <w:t>活动数据</w:t>
            </w:r>
          </w:p>
        </w:tc>
        <w:tc>
          <w:tcPr>
            <w:tcW w:w="2044" w:type="dxa"/>
            <w:tcBorders>
              <w:top w:val="single" w:color="auto" w:sz="8" w:space="0"/>
              <w:left w:val="single" w:color="auto" w:sz="4" w:space="0"/>
              <w:bottom w:val="single" w:color="auto" w:sz="4" w:space="0"/>
              <w:right w:val="single" w:color="auto" w:sz="4" w:space="0"/>
            </w:tcBorders>
            <w:vAlign w:val="center"/>
          </w:tcPr>
          <w:p w14:paraId="324994FB">
            <w:pPr>
              <w:adjustRightInd/>
              <w:spacing w:line="240" w:lineRule="auto"/>
              <w:jc w:val="center"/>
              <w:rPr>
                <w:rFonts w:ascii="Times New Roman" w:hAnsi="Times New Roman" w:eastAsia="Times New Roman"/>
                <w:sz w:val="18"/>
                <w:szCs w:val="18"/>
              </w:rPr>
            </w:pPr>
            <w:r>
              <w:rPr>
                <w:rFonts w:hint="eastAsia" w:ascii="宋体" w:hAnsi="宋体" w:eastAsia="Times New Roman"/>
                <w:sz w:val="18"/>
                <w:szCs w:val="18"/>
              </w:rPr>
              <w:t>排放因子</w:t>
            </w:r>
          </w:p>
        </w:tc>
        <w:tc>
          <w:tcPr>
            <w:tcW w:w="2044" w:type="dxa"/>
            <w:tcBorders>
              <w:top w:val="single" w:color="auto" w:sz="8" w:space="0"/>
              <w:left w:val="single" w:color="auto" w:sz="4" w:space="0"/>
              <w:bottom w:val="single" w:color="auto" w:sz="4" w:space="0"/>
              <w:right w:val="single" w:color="auto" w:sz="8" w:space="0"/>
            </w:tcBorders>
            <w:vAlign w:val="center"/>
          </w:tcPr>
          <w:p w14:paraId="4BE53A59">
            <w:pPr>
              <w:adjustRightInd/>
              <w:spacing w:line="240" w:lineRule="auto"/>
              <w:jc w:val="center"/>
              <w:rPr>
                <w:rFonts w:ascii="Times New Roman" w:hAnsi="Times New Roman" w:eastAsia="Times New Roman"/>
                <w:sz w:val="18"/>
                <w:szCs w:val="18"/>
              </w:rPr>
            </w:pPr>
            <w:r>
              <w:rPr>
                <w:rFonts w:hint="eastAsia" w:ascii="宋体" w:hAnsi="宋体" w:eastAsia="Times New Roman"/>
                <w:sz w:val="18"/>
                <w:szCs w:val="18"/>
              </w:rPr>
              <w:t>温室气体量</w:t>
            </w:r>
          </w:p>
          <w:p w14:paraId="33FC4804">
            <w:pPr>
              <w:adjustRightInd/>
              <w:spacing w:line="240" w:lineRule="auto"/>
              <w:jc w:val="center"/>
              <w:rPr>
                <w:rFonts w:ascii="Times New Roman" w:hAnsi="Times New Roman" w:eastAsia="Times New Roman"/>
                <w:sz w:val="18"/>
                <w:szCs w:val="18"/>
              </w:rPr>
            </w:pPr>
            <w:r>
              <w:rPr>
                <w:rFonts w:hint="eastAsia" w:ascii="Times New Roman" w:hAnsi="Times New Roman" w:eastAsia="Times New Roman"/>
                <w:sz w:val="18"/>
                <w:szCs w:val="18"/>
              </w:rPr>
              <w:t>kg/</w:t>
            </w:r>
            <w:r>
              <w:rPr>
                <w:rFonts w:hint="eastAsia" w:ascii="宋体" w:hAnsi="宋体" w:eastAsia="Times New Roman"/>
                <w:sz w:val="18"/>
                <w:szCs w:val="18"/>
              </w:rPr>
              <w:t>功能单位</w:t>
            </w:r>
          </w:p>
        </w:tc>
      </w:tr>
      <w:tr w14:paraId="29B41A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Pr>
        <w:tc>
          <w:tcPr>
            <w:tcW w:w="2154" w:type="dxa"/>
            <w:vMerge w:val="restart"/>
            <w:tcBorders>
              <w:top w:val="single" w:color="auto" w:sz="4" w:space="0"/>
              <w:left w:val="single" w:color="auto" w:sz="8" w:space="0"/>
              <w:bottom w:val="single" w:color="auto" w:sz="4" w:space="0"/>
              <w:right w:val="single" w:color="auto" w:sz="4" w:space="0"/>
            </w:tcBorders>
            <w:vAlign w:val="center"/>
          </w:tcPr>
          <w:p w14:paraId="380740E5">
            <w:pPr>
              <w:adjustRightInd/>
              <w:spacing w:line="240" w:lineRule="auto"/>
              <w:jc w:val="center"/>
              <w:rPr>
                <w:rFonts w:ascii="Times New Roman" w:hAnsi="Times New Roman" w:eastAsia="Times New Roman"/>
                <w:sz w:val="18"/>
                <w:szCs w:val="18"/>
              </w:rPr>
            </w:pPr>
            <w:r>
              <w:rPr>
                <w:rFonts w:hint="eastAsia" w:ascii="宋体" w:hAnsi="宋体" w:eastAsia="Times New Roman"/>
                <w:sz w:val="18"/>
                <w:szCs w:val="18"/>
              </w:rPr>
              <w:t>原材料获取</w:t>
            </w:r>
          </w:p>
        </w:tc>
        <w:tc>
          <w:tcPr>
            <w:tcW w:w="2044" w:type="dxa"/>
            <w:tcBorders>
              <w:top w:val="single" w:color="auto" w:sz="4" w:space="0"/>
              <w:left w:val="single" w:color="auto" w:sz="4" w:space="0"/>
              <w:bottom w:val="single" w:color="auto" w:sz="4" w:space="0"/>
              <w:right w:val="single" w:color="auto" w:sz="4" w:space="0"/>
            </w:tcBorders>
            <w:vAlign w:val="center"/>
          </w:tcPr>
          <w:p w14:paraId="0951565B">
            <w:pPr>
              <w:adjustRightInd/>
              <w:spacing w:line="240" w:lineRule="auto"/>
              <w:jc w:val="center"/>
              <w:rPr>
                <w:rFonts w:ascii="Times New Roman" w:hAnsi="Times New Roman" w:eastAsia="Times New Roman"/>
                <w:sz w:val="18"/>
                <w:szCs w:val="18"/>
              </w:rPr>
            </w:pPr>
          </w:p>
        </w:tc>
        <w:tc>
          <w:tcPr>
            <w:tcW w:w="2044" w:type="dxa"/>
            <w:tcBorders>
              <w:top w:val="single" w:color="auto" w:sz="4" w:space="0"/>
              <w:left w:val="single" w:color="auto" w:sz="4" w:space="0"/>
              <w:bottom w:val="single" w:color="auto" w:sz="4" w:space="0"/>
              <w:right w:val="single" w:color="auto" w:sz="4" w:space="0"/>
            </w:tcBorders>
            <w:vAlign w:val="center"/>
          </w:tcPr>
          <w:p w14:paraId="106A8746">
            <w:pPr>
              <w:adjustRightInd/>
              <w:spacing w:line="240" w:lineRule="auto"/>
              <w:jc w:val="center"/>
              <w:rPr>
                <w:rFonts w:ascii="Times New Roman" w:hAnsi="Times New Roman" w:eastAsia="Times New Roman"/>
                <w:sz w:val="18"/>
                <w:szCs w:val="18"/>
              </w:rPr>
            </w:pPr>
          </w:p>
        </w:tc>
        <w:tc>
          <w:tcPr>
            <w:tcW w:w="2044" w:type="dxa"/>
            <w:tcBorders>
              <w:top w:val="single" w:color="auto" w:sz="4" w:space="0"/>
              <w:left w:val="single" w:color="auto" w:sz="4" w:space="0"/>
              <w:bottom w:val="single" w:color="auto" w:sz="4" w:space="0"/>
              <w:right w:val="single" w:color="auto" w:sz="8" w:space="0"/>
            </w:tcBorders>
            <w:vAlign w:val="center"/>
          </w:tcPr>
          <w:p w14:paraId="61D45455">
            <w:pPr>
              <w:adjustRightInd/>
              <w:spacing w:line="240" w:lineRule="auto"/>
              <w:jc w:val="center"/>
              <w:rPr>
                <w:rFonts w:ascii="Times New Roman" w:hAnsi="Times New Roman" w:eastAsia="Times New Roman"/>
                <w:sz w:val="18"/>
                <w:szCs w:val="18"/>
              </w:rPr>
            </w:pPr>
          </w:p>
        </w:tc>
      </w:tr>
      <w:tr w14:paraId="42BAF3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Pr>
        <w:tc>
          <w:tcPr>
            <w:tcW w:w="0" w:type="auto"/>
            <w:vMerge w:val="continue"/>
            <w:tcBorders>
              <w:top w:val="single" w:color="auto" w:sz="4" w:space="0"/>
              <w:left w:val="single" w:color="auto" w:sz="8" w:space="0"/>
              <w:bottom w:val="single" w:color="auto" w:sz="4" w:space="0"/>
              <w:right w:val="single" w:color="auto" w:sz="4" w:space="0"/>
            </w:tcBorders>
            <w:vAlign w:val="center"/>
          </w:tcPr>
          <w:p w14:paraId="7D74B662">
            <w:pPr>
              <w:widowControl/>
              <w:adjustRightInd/>
              <w:spacing w:line="240" w:lineRule="auto"/>
              <w:jc w:val="left"/>
              <w:rPr>
                <w:rFonts w:ascii="Times New Roman" w:hAnsi="Times New Roman" w:eastAsia="Times New Roman"/>
                <w:sz w:val="18"/>
                <w:szCs w:val="18"/>
              </w:rPr>
            </w:pPr>
          </w:p>
        </w:tc>
        <w:tc>
          <w:tcPr>
            <w:tcW w:w="2044" w:type="dxa"/>
            <w:tcBorders>
              <w:top w:val="single" w:color="auto" w:sz="4" w:space="0"/>
              <w:left w:val="single" w:color="auto" w:sz="4" w:space="0"/>
              <w:bottom w:val="single" w:color="auto" w:sz="4" w:space="0"/>
              <w:right w:val="single" w:color="auto" w:sz="4" w:space="0"/>
            </w:tcBorders>
            <w:vAlign w:val="center"/>
          </w:tcPr>
          <w:p w14:paraId="0185C93D">
            <w:pPr>
              <w:adjustRightInd/>
              <w:spacing w:line="240" w:lineRule="auto"/>
              <w:jc w:val="center"/>
              <w:rPr>
                <w:rFonts w:ascii="Times New Roman" w:hAnsi="Times New Roman" w:eastAsia="Times New Roman"/>
                <w:sz w:val="18"/>
                <w:szCs w:val="18"/>
              </w:rPr>
            </w:pPr>
          </w:p>
        </w:tc>
        <w:tc>
          <w:tcPr>
            <w:tcW w:w="2044" w:type="dxa"/>
            <w:tcBorders>
              <w:top w:val="single" w:color="auto" w:sz="4" w:space="0"/>
              <w:left w:val="single" w:color="auto" w:sz="4" w:space="0"/>
              <w:bottom w:val="single" w:color="auto" w:sz="4" w:space="0"/>
              <w:right w:val="single" w:color="auto" w:sz="4" w:space="0"/>
            </w:tcBorders>
            <w:vAlign w:val="center"/>
          </w:tcPr>
          <w:p w14:paraId="0485D18D">
            <w:pPr>
              <w:adjustRightInd/>
              <w:spacing w:line="240" w:lineRule="auto"/>
              <w:jc w:val="center"/>
              <w:rPr>
                <w:rFonts w:ascii="Times New Roman" w:hAnsi="Times New Roman" w:eastAsia="Times New Roman"/>
                <w:sz w:val="18"/>
                <w:szCs w:val="18"/>
              </w:rPr>
            </w:pPr>
          </w:p>
        </w:tc>
        <w:tc>
          <w:tcPr>
            <w:tcW w:w="2044" w:type="dxa"/>
            <w:tcBorders>
              <w:top w:val="single" w:color="auto" w:sz="4" w:space="0"/>
              <w:left w:val="single" w:color="auto" w:sz="4" w:space="0"/>
              <w:bottom w:val="single" w:color="auto" w:sz="4" w:space="0"/>
              <w:right w:val="single" w:color="auto" w:sz="8" w:space="0"/>
            </w:tcBorders>
            <w:vAlign w:val="center"/>
          </w:tcPr>
          <w:p w14:paraId="1CC4BE08">
            <w:pPr>
              <w:adjustRightInd/>
              <w:spacing w:line="240" w:lineRule="auto"/>
              <w:jc w:val="center"/>
              <w:rPr>
                <w:rFonts w:ascii="Times New Roman" w:hAnsi="Times New Roman" w:eastAsia="Times New Roman"/>
                <w:sz w:val="18"/>
                <w:szCs w:val="18"/>
              </w:rPr>
            </w:pPr>
          </w:p>
        </w:tc>
      </w:tr>
      <w:tr w14:paraId="515804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Pr>
        <w:tc>
          <w:tcPr>
            <w:tcW w:w="0" w:type="auto"/>
            <w:vMerge w:val="continue"/>
            <w:tcBorders>
              <w:top w:val="single" w:color="auto" w:sz="4" w:space="0"/>
              <w:left w:val="single" w:color="auto" w:sz="8" w:space="0"/>
              <w:bottom w:val="single" w:color="auto" w:sz="4" w:space="0"/>
              <w:right w:val="single" w:color="auto" w:sz="4" w:space="0"/>
            </w:tcBorders>
            <w:vAlign w:val="center"/>
          </w:tcPr>
          <w:p w14:paraId="191D92EB">
            <w:pPr>
              <w:widowControl/>
              <w:adjustRightInd/>
              <w:spacing w:line="240" w:lineRule="auto"/>
              <w:jc w:val="left"/>
              <w:rPr>
                <w:rFonts w:ascii="Times New Roman" w:hAnsi="Times New Roman" w:eastAsia="Times New Roman"/>
                <w:sz w:val="18"/>
                <w:szCs w:val="18"/>
              </w:rPr>
            </w:pPr>
          </w:p>
        </w:tc>
        <w:tc>
          <w:tcPr>
            <w:tcW w:w="2044" w:type="dxa"/>
            <w:tcBorders>
              <w:top w:val="single" w:color="auto" w:sz="4" w:space="0"/>
              <w:left w:val="single" w:color="auto" w:sz="4" w:space="0"/>
              <w:bottom w:val="single" w:color="auto" w:sz="4" w:space="0"/>
              <w:right w:val="single" w:color="auto" w:sz="4" w:space="0"/>
            </w:tcBorders>
            <w:vAlign w:val="center"/>
          </w:tcPr>
          <w:p w14:paraId="1E9A0FC0">
            <w:pPr>
              <w:adjustRightInd/>
              <w:spacing w:line="240" w:lineRule="auto"/>
              <w:jc w:val="center"/>
              <w:rPr>
                <w:rFonts w:ascii="Times New Roman" w:hAnsi="Times New Roman" w:eastAsia="Times New Roman"/>
                <w:sz w:val="18"/>
                <w:szCs w:val="18"/>
              </w:rPr>
            </w:pPr>
          </w:p>
        </w:tc>
        <w:tc>
          <w:tcPr>
            <w:tcW w:w="2044" w:type="dxa"/>
            <w:tcBorders>
              <w:top w:val="single" w:color="auto" w:sz="4" w:space="0"/>
              <w:left w:val="single" w:color="auto" w:sz="4" w:space="0"/>
              <w:bottom w:val="single" w:color="auto" w:sz="4" w:space="0"/>
              <w:right w:val="single" w:color="auto" w:sz="4" w:space="0"/>
            </w:tcBorders>
            <w:vAlign w:val="center"/>
          </w:tcPr>
          <w:p w14:paraId="175AEC14">
            <w:pPr>
              <w:adjustRightInd/>
              <w:spacing w:line="240" w:lineRule="auto"/>
              <w:jc w:val="center"/>
              <w:rPr>
                <w:rFonts w:ascii="Times New Roman" w:hAnsi="Times New Roman" w:eastAsia="Times New Roman"/>
                <w:sz w:val="18"/>
                <w:szCs w:val="18"/>
              </w:rPr>
            </w:pPr>
          </w:p>
        </w:tc>
        <w:tc>
          <w:tcPr>
            <w:tcW w:w="2044" w:type="dxa"/>
            <w:tcBorders>
              <w:top w:val="single" w:color="auto" w:sz="4" w:space="0"/>
              <w:left w:val="single" w:color="auto" w:sz="4" w:space="0"/>
              <w:bottom w:val="single" w:color="auto" w:sz="4" w:space="0"/>
              <w:right w:val="single" w:color="auto" w:sz="8" w:space="0"/>
            </w:tcBorders>
            <w:vAlign w:val="center"/>
          </w:tcPr>
          <w:p w14:paraId="161F7F01">
            <w:pPr>
              <w:adjustRightInd/>
              <w:spacing w:line="240" w:lineRule="auto"/>
              <w:jc w:val="center"/>
              <w:rPr>
                <w:rFonts w:ascii="Times New Roman" w:hAnsi="Times New Roman" w:eastAsia="Times New Roman"/>
                <w:sz w:val="18"/>
                <w:szCs w:val="18"/>
              </w:rPr>
            </w:pPr>
          </w:p>
        </w:tc>
      </w:tr>
      <w:tr w14:paraId="242C1A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Pr>
        <w:tc>
          <w:tcPr>
            <w:tcW w:w="0" w:type="auto"/>
            <w:vMerge w:val="continue"/>
            <w:tcBorders>
              <w:top w:val="single" w:color="auto" w:sz="4" w:space="0"/>
              <w:left w:val="single" w:color="auto" w:sz="8" w:space="0"/>
              <w:bottom w:val="single" w:color="auto" w:sz="4" w:space="0"/>
              <w:right w:val="single" w:color="auto" w:sz="4" w:space="0"/>
            </w:tcBorders>
            <w:vAlign w:val="center"/>
          </w:tcPr>
          <w:p w14:paraId="38B68854">
            <w:pPr>
              <w:widowControl/>
              <w:adjustRightInd/>
              <w:spacing w:line="240" w:lineRule="auto"/>
              <w:jc w:val="left"/>
              <w:rPr>
                <w:rFonts w:ascii="Times New Roman" w:hAnsi="Times New Roman" w:eastAsia="Times New Roman"/>
                <w:sz w:val="18"/>
                <w:szCs w:val="18"/>
              </w:rPr>
            </w:pPr>
          </w:p>
        </w:tc>
        <w:tc>
          <w:tcPr>
            <w:tcW w:w="2044" w:type="dxa"/>
            <w:tcBorders>
              <w:top w:val="single" w:color="auto" w:sz="4" w:space="0"/>
              <w:left w:val="single" w:color="auto" w:sz="4" w:space="0"/>
              <w:bottom w:val="single" w:color="auto" w:sz="4" w:space="0"/>
              <w:right w:val="single" w:color="auto" w:sz="4" w:space="0"/>
            </w:tcBorders>
            <w:vAlign w:val="center"/>
          </w:tcPr>
          <w:p w14:paraId="4D98D150">
            <w:pPr>
              <w:adjustRightInd/>
              <w:spacing w:line="240" w:lineRule="auto"/>
              <w:jc w:val="center"/>
              <w:rPr>
                <w:rFonts w:ascii="Times New Roman" w:hAnsi="Times New Roman" w:eastAsia="Times New Roman"/>
                <w:sz w:val="18"/>
                <w:szCs w:val="18"/>
              </w:rPr>
            </w:pPr>
          </w:p>
        </w:tc>
        <w:tc>
          <w:tcPr>
            <w:tcW w:w="2044" w:type="dxa"/>
            <w:tcBorders>
              <w:top w:val="single" w:color="auto" w:sz="4" w:space="0"/>
              <w:left w:val="single" w:color="auto" w:sz="4" w:space="0"/>
              <w:bottom w:val="single" w:color="auto" w:sz="4" w:space="0"/>
              <w:right w:val="single" w:color="auto" w:sz="4" w:space="0"/>
            </w:tcBorders>
            <w:vAlign w:val="center"/>
          </w:tcPr>
          <w:p w14:paraId="7AA2B8E2">
            <w:pPr>
              <w:adjustRightInd/>
              <w:spacing w:line="240" w:lineRule="auto"/>
              <w:jc w:val="center"/>
              <w:rPr>
                <w:rFonts w:ascii="Times New Roman" w:hAnsi="Times New Roman" w:eastAsia="Times New Roman"/>
                <w:sz w:val="18"/>
                <w:szCs w:val="18"/>
              </w:rPr>
            </w:pPr>
          </w:p>
        </w:tc>
        <w:tc>
          <w:tcPr>
            <w:tcW w:w="2044" w:type="dxa"/>
            <w:tcBorders>
              <w:top w:val="single" w:color="auto" w:sz="4" w:space="0"/>
              <w:left w:val="single" w:color="auto" w:sz="4" w:space="0"/>
              <w:bottom w:val="single" w:color="auto" w:sz="4" w:space="0"/>
              <w:right w:val="single" w:color="auto" w:sz="8" w:space="0"/>
            </w:tcBorders>
            <w:vAlign w:val="center"/>
          </w:tcPr>
          <w:p w14:paraId="4F9BB99A">
            <w:pPr>
              <w:adjustRightInd/>
              <w:spacing w:line="240" w:lineRule="auto"/>
              <w:jc w:val="center"/>
              <w:rPr>
                <w:rFonts w:ascii="Times New Roman" w:hAnsi="Times New Roman" w:eastAsia="Times New Roman"/>
                <w:sz w:val="18"/>
                <w:szCs w:val="18"/>
              </w:rPr>
            </w:pPr>
          </w:p>
        </w:tc>
      </w:tr>
      <w:tr w14:paraId="44A47F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Pr>
        <w:tc>
          <w:tcPr>
            <w:tcW w:w="2154" w:type="dxa"/>
            <w:vMerge w:val="restart"/>
            <w:tcBorders>
              <w:top w:val="single" w:color="auto" w:sz="4" w:space="0"/>
              <w:left w:val="single" w:color="auto" w:sz="8" w:space="0"/>
              <w:bottom w:val="single" w:color="auto" w:sz="4" w:space="0"/>
              <w:right w:val="single" w:color="auto" w:sz="4" w:space="0"/>
            </w:tcBorders>
            <w:vAlign w:val="center"/>
          </w:tcPr>
          <w:p w14:paraId="4AFD592D">
            <w:pPr>
              <w:adjustRightInd/>
              <w:spacing w:line="240" w:lineRule="auto"/>
              <w:jc w:val="center"/>
              <w:rPr>
                <w:rFonts w:ascii="Times New Roman" w:hAnsi="Times New Roman" w:eastAsia="Times New Roman"/>
                <w:sz w:val="18"/>
                <w:szCs w:val="18"/>
              </w:rPr>
            </w:pPr>
            <w:r>
              <w:rPr>
                <w:rFonts w:hint="eastAsia" w:ascii="宋体" w:hAnsi="宋体" w:eastAsia="Times New Roman"/>
                <w:sz w:val="18"/>
                <w:szCs w:val="18"/>
              </w:rPr>
              <w:t>生产</w:t>
            </w:r>
          </w:p>
        </w:tc>
        <w:tc>
          <w:tcPr>
            <w:tcW w:w="2044" w:type="dxa"/>
            <w:tcBorders>
              <w:top w:val="single" w:color="auto" w:sz="4" w:space="0"/>
              <w:left w:val="single" w:color="auto" w:sz="4" w:space="0"/>
              <w:bottom w:val="single" w:color="auto" w:sz="4" w:space="0"/>
              <w:right w:val="single" w:color="auto" w:sz="4" w:space="0"/>
            </w:tcBorders>
            <w:vAlign w:val="center"/>
          </w:tcPr>
          <w:p w14:paraId="7452EDEF">
            <w:pPr>
              <w:adjustRightInd/>
              <w:spacing w:line="240" w:lineRule="auto"/>
              <w:jc w:val="center"/>
              <w:rPr>
                <w:rFonts w:ascii="Times New Roman" w:hAnsi="Times New Roman" w:eastAsia="Times New Roman"/>
                <w:sz w:val="18"/>
                <w:szCs w:val="18"/>
              </w:rPr>
            </w:pPr>
          </w:p>
        </w:tc>
        <w:tc>
          <w:tcPr>
            <w:tcW w:w="2044" w:type="dxa"/>
            <w:tcBorders>
              <w:top w:val="single" w:color="auto" w:sz="4" w:space="0"/>
              <w:left w:val="single" w:color="auto" w:sz="4" w:space="0"/>
              <w:bottom w:val="single" w:color="auto" w:sz="4" w:space="0"/>
              <w:right w:val="single" w:color="auto" w:sz="4" w:space="0"/>
            </w:tcBorders>
            <w:vAlign w:val="center"/>
          </w:tcPr>
          <w:p w14:paraId="2C7EDAD1">
            <w:pPr>
              <w:adjustRightInd/>
              <w:spacing w:line="240" w:lineRule="auto"/>
              <w:jc w:val="center"/>
              <w:rPr>
                <w:rFonts w:ascii="Times New Roman" w:hAnsi="Times New Roman" w:eastAsia="Times New Roman"/>
                <w:sz w:val="18"/>
                <w:szCs w:val="18"/>
              </w:rPr>
            </w:pPr>
          </w:p>
        </w:tc>
        <w:tc>
          <w:tcPr>
            <w:tcW w:w="2044" w:type="dxa"/>
            <w:tcBorders>
              <w:top w:val="single" w:color="auto" w:sz="4" w:space="0"/>
              <w:left w:val="single" w:color="auto" w:sz="4" w:space="0"/>
              <w:bottom w:val="single" w:color="auto" w:sz="4" w:space="0"/>
              <w:right w:val="single" w:color="auto" w:sz="8" w:space="0"/>
            </w:tcBorders>
            <w:vAlign w:val="center"/>
          </w:tcPr>
          <w:p w14:paraId="199D5A78">
            <w:pPr>
              <w:adjustRightInd/>
              <w:spacing w:line="240" w:lineRule="auto"/>
              <w:jc w:val="center"/>
              <w:rPr>
                <w:rFonts w:ascii="Times New Roman" w:hAnsi="Times New Roman" w:eastAsia="Times New Roman"/>
                <w:sz w:val="18"/>
                <w:szCs w:val="18"/>
              </w:rPr>
            </w:pPr>
          </w:p>
        </w:tc>
      </w:tr>
      <w:tr w14:paraId="47A369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Pr>
        <w:tc>
          <w:tcPr>
            <w:tcW w:w="0" w:type="auto"/>
            <w:vMerge w:val="continue"/>
            <w:tcBorders>
              <w:top w:val="single" w:color="auto" w:sz="4" w:space="0"/>
              <w:left w:val="single" w:color="auto" w:sz="8" w:space="0"/>
              <w:bottom w:val="single" w:color="auto" w:sz="4" w:space="0"/>
              <w:right w:val="single" w:color="auto" w:sz="4" w:space="0"/>
            </w:tcBorders>
            <w:vAlign w:val="center"/>
          </w:tcPr>
          <w:p w14:paraId="75BEAC93">
            <w:pPr>
              <w:widowControl/>
              <w:adjustRightInd/>
              <w:spacing w:line="240" w:lineRule="auto"/>
              <w:jc w:val="left"/>
              <w:rPr>
                <w:rFonts w:ascii="Times New Roman" w:hAnsi="Times New Roman" w:eastAsia="Times New Roman"/>
                <w:sz w:val="18"/>
                <w:szCs w:val="18"/>
              </w:rPr>
            </w:pPr>
          </w:p>
        </w:tc>
        <w:tc>
          <w:tcPr>
            <w:tcW w:w="2044" w:type="dxa"/>
            <w:tcBorders>
              <w:top w:val="single" w:color="auto" w:sz="4" w:space="0"/>
              <w:left w:val="single" w:color="auto" w:sz="4" w:space="0"/>
              <w:bottom w:val="single" w:color="auto" w:sz="4" w:space="0"/>
              <w:right w:val="single" w:color="auto" w:sz="4" w:space="0"/>
            </w:tcBorders>
            <w:vAlign w:val="center"/>
          </w:tcPr>
          <w:p w14:paraId="2EEF6782">
            <w:pPr>
              <w:adjustRightInd/>
              <w:spacing w:line="240" w:lineRule="auto"/>
              <w:jc w:val="center"/>
              <w:rPr>
                <w:rFonts w:ascii="Times New Roman" w:hAnsi="Times New Roman" w:eastAsia="Times New Roman"/>
                <w:sz w:val="18"/>
                <w:szCs w:val="18"/>
              </w:rPr>
            </w:pPr>
          </w:p>
        </w:tc>
        <w:tc>
          <w:tcPr>
            <w:tcW w:w="2044" w:type="dxa"/>
            <w:tcBorders>
              <w:top w:val="single" w:color="auto" w:sz="4" w:space="0"/>
              <w:left w:val="single" w:color="auto" w:sz="4" w:space="0"/>
              <w:bottom w:val="single" w:color="auto" w:sz="4" w:space="0"/>
              <w:right w:val="single" w:color="auto" w:sz="4" w:space="0"/>
            </w:tcBorders>
            <w:vAlign w:val="center"/>
          </w:tcPr>
          <w:p w14:paraId="3162B37B">
            <w:pPr>
              <w:adjustRightInd/>
              <w:spacing w:line="240" w:lineRule="auto"/>
              <w:jc w:val="center"/>
              <w:rPr>
                <w:rFonts w:ascii="Times New Roman" w:hAnsi="Times New Roman" w:eastAsia="Times New Roman"/>
                <w:sz w:val="18"/>
                <w:szCs w:val="18"/>
              </w:rPr>
            </w:pPr>
          </w:p>
        </w:tc>
        <w:tc>
          <w:tcPr>
            <w:tcW w:w="2044" w:type="dxa"/>
            <w:tcBorders>
              <w:top w:val="single" w:color="auto" w:sz="4" w:space="0"/>
              <w:left w:val="single" w:color="auto" w:sz="4" w:space="0"/>
              <w:bottom w:val="single" w:color="auto" w:sz="4" w:space="0"/>
              <w:right w:val="single" w:color="auto" w:sz="8" w:space="0"/>
            </w:tcBorders>
            <w:vAlign w:val="center"/>
          </w:tcPr>
          <w:p w14:paraId="328C3393">
            <w:pPr>
              <w:adjustRightInd/>
              <w:spacing w:line="240" w:lineRule="auto"/>
              <w:jc w:val="center"/>
              <w:rPr>
                <w:rFonts w:ascii="Times New Roman" w:hAnsi="Times New Roman" w:eastAsia="Times New Roman"/>
                <w:sz w:val="18"/>
                <w:szCs w:val="18"/>
              </w:rPr>
            </w:pPr>
          </w:p>
        </w:tc>
      </w:tr>
      <w:tr w14:paraId="5F8B72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Pr>
        <w:tc>
          <w:tcPr>
            <w:tcW w:w="0" w:type="auto"/>
            <w:vMerge w:val="continue"/>
            <w:tcBorders>
              <w:top w:val="single" w:color="auto" w:sz="4" w:space="0"/>
              <w:left w:val="single" w:color="auto" w:sz="8" w:space="0"/>
              <w:bottom w:val="single" w:color="auto" w:sz="4" w:space="0"/>
              <w:right w:val="single" w:color="auto" w:sz="4" w:space="0"/>
            </w:tcBorders>
            <w:vAlign w:val="center"/>
          </w:tcPr>
          <w:p w14:paraId="6316A1DE">
            <w:pPr>
              <w:widowControl/>
              <w:adjustRightInd/>
              <w:spacing w:line="240" w:lineRule="auto"/>
              <w:jc w:val="left"/>
              <w:rPr>
                <w:rFonts w:ascii="Times New Roman" w:hAnsi="Times New Roman" w:eastAsia="Times New Roman"/>
                <w:sz w:val="18"/>
                <w:szCs w:val="18"/>
              </w:rPr>
            </w:pPr>
          </w:p>
        </w:tc>
        <w:tc>
          <w:tcPr>
            <w:tcW w:w="2044" w:type="dxa"/>
            <w:tcBorders>
              <w:top w:val="single" w:color="auto" w:sz="4" w:space="0"/>
              <w:left w:val="single" w:color="auto" w:sz="4" w:space="0"/>
              <w:bottom w:val="single" w:color="auto" w:sz="4" w:space="0"/>
              <w:right w:val="single" w:color="auto" w:sz="4" w:space="0"/>
            </w:tcBorders>
            <w:vAlign w:val="center"/>
          </w:tcPr>
          <w:p w14:paraId="764C9D95">
            <w:pPr>
              <w:adjustRightInd/>
              <w:spacing w:line="240" w:lineRule="auto"/>
              <w:jc w:val="center"/>
              <w:rPr>
                <w:rFonts w:ascii="Times New Roman" w:hAnsi="Times New Roman" w:eastAsia="Times New Roman"/>
                <w:sz w:val="18"/>
                <w:szCs w:val="18"/>
              </w:rPr>
            </w:pPr>
          </w:p>
        </w:tc>
        <w:tc>
          <w:tcPr>
            <w:tcW w:w="2044" w:type="dxa"/>
            <w:tcBorders>
              <w:top w:val="single" w:color="auto" w:sz="4" w:space="0"/>
              <w:left w:val="single" w:color="auto" w:sz="4" w:space="0"/>
              <w:bottom w:val="single" w:color="auto" w:sz="4" w:space="0"/>
              <w:right w:val="single" w:color="auto" w:sz="4" w:space="0"/>
            </w:tcBorders>
            <w:vAlign w:val="center"/>
          </w:tcPr>
          <w:p w14:paraId="74465875">
            <w:pPr>
              <w:adjustRightInd/>
              <w:spacing w:line="240" w:lineRule="auto"/>
              <w:jc w:val="center"/>
              <w:rPr>
                <w:rFonts w:ascii="Times New Roman" w:hAnsi="Times New Roman" w:eastAsia="Times New Roman"/>
                <w:sz w:val="18"/>
                <w:szCs w:val="18"/>
              </w:rPr>
            </w:pPr>
          </w:p>
        </w:tc>
        <w:tc>
          <w:tcPr>
            <w:tcW w:w="2044" w:type="dxa"/>
            <w:tcBorders>
              <w:top w:val="single" w:color="auto" w:sz="4" w:space="0"/>
              <w:left w:val="single" w:color="auto" w:sz="4" w:space="0"/>
              <w:bottom w:val="single" w:color="auto" w:sz="4" w:space="0"/>
              <w:right w:val="single" w:color="auto" w:sz="8" w:space="0"/>
            </w:tcBorders>
            <w:vAlign w:val="center"/>
          </w:tcPr>
          <w:p w14:paraId="49BC801B">
            <w:pPr>
              <w:adjustRightInd/>
              <w:spacing w:line="240" w:lineRule="auto"/>
              <w:jc w:val="center"/>
              <w:rPr>
                <w:rFonts w:ascii="Times New Roman" w:hAnsi="Times New Roman" w:eastAsia="Times New Roman"/>
                <w:sz w:val="18"/>
                <w:szCs w:val="18"/>
              </w:rPr>
            </w:pPr>
          </w:p>
        </w:tc>
      </w:tr>
      <w:tr w14:paraId="1197EB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Pr>
        <w:tc>
          <w:tcPr>
            <w:tcW w:w="0" w:type="auto"/>
            <w:vMerge w:val="continue"/>
            <w:tcBorders>
              <w:top w:val="single" w:color="auto" w:sz="4" w:space="0"/>
              <w:left w:val="single" w:color="auto" w:sz="8" w:space="0"/>
              <w:bottom w:val="single" w:color="auto" w:sz="4" w:space="0"/>
              <w:right w:val="single" w:color="auto" w:sz="4" w:space="0"/>
            </w:tcBorders>
            <w:vAlign w:val="center"/>
          </w:tcPr>
          <w:p w14:paraId="03B5CCBD">
            <w:pPr>
              <w:widowControl/>
              <w:adjustRightInd/>
              <w:spacing w:line="240" w:lineRule="auto"/>
              <w:jc w:val="left"/>
              <w:rPr>
                <w:rFonts w:ascii="Times New Roman" w:hAnsi="Times New Roman" w:eastAsia="Times New Roman"/>
                <w:sz w:val="18"/>
                <w:szCs w:val="18"/>
              </w:rPr>
            </w:pPr>
          </w:p>
        </w:tc>
        <w:tc>
          <w:tcPr>
            <w:tcW w:w="2044" w:type="dxa"/>
            <w:tcBorders>
              <w:top w:val="single" w:color="auto" w:sz="4" w:space="0"/>
              <w:left w:val="single" w:color="auto" w:sz="4" w:space="0"/>
              <w:bottom w:val="single" w:color="auto" w:sz="8" w:space="0"/>
              <w:right w:val="single" w:color="auto" w:sz="4" w:space="0"/>
            </w:tcBorders>
            <w:vAlign w:val="center"/>
          </w:tcPr>
          <w:p w14:paraId="707C0F67">
            <w:pPr>
              <w:adjustRightInd/>
              <w:spacing w:line="240" w:lineRule="auto"/>
              <w:jc w:val="center"/>
              <w:rPr>
                <w:rFonts w:ascii="Times New Roman" w:hAnsi="Times New Roman" w:eastAsia="Times New Roman"/>
                <w:sz w:val="18"/>
                <w:szCs w:val="18"/>
              </w:rPr>
            </w:pPr>
          </w:p>
        </w:tc>
        <w:tc>
          <w:tcPr>
            <w:tcW w:w="2044" w:type="dxa"/>
            <w:tcBorders>
              <w:top w:val="single" w:color="auto" w:sz="4" w:space="0"/>
              <w:left w:val="single" w:color="auto" w:sz="4" w:space="0"/>
              <w:bottom w:val="single" w:color="auto" w:sz="8" w:space="0"/>
              <w:right w:val="single" w:color="auto" w:sz="4" w:space="0"/>
            </w:tcBorders>
            <w:vAlign w:val="center"/>
          </w:tcPr>
          <w:p w14:paraId="6267CAB7">
            <w:pPr>
              <w:adjustRightInd/>
              <w:spacing w:line="240" w:lineRule="auto"/>
              <w:jc w:val="center"/>
              <w:rPr>
                <w:rFonts w:ascii="Times New Roman" w:hAnsi="Times New Roman" w:eastAsia="Times New Roman"/>
                <w:sz w:val="18"/>
                <w:szCs w:val="18"/>
              </w:rPr>
            </w:pPr>
          </w:p>
        </w:tc>
        <w:tc>
          <w:tcPr>
            <w:tcW w:w="2044" w:type="dxa"/>
            <w:tcBorders>
              <w:top w:val="single" w:color="auto" w:sz="4" w:space="0"/>
              <w:left w:val="single" w:color="auto" w:sz="4" w:space="0"/>
              <w:bottom w:val="single" w:color="auto" w:sz="8" w:space="0"/>
              <w:right w:val="single" w:color="auto" w:sz="8" w:space="0"/>
            </w:tcBorders>
            <w:vAlign w:val="center"/>
          </w:tcPr>
          <w:p w14:paraId="42D8C8B0">
            <w:pPr>
              <w:adjustRightInd/>
              <w:spacing w:line="240" w:lineRule="auto"/>
              <w:jc w:val="center"/>
              <w:rPr>
                <w:rFonts w:ascii="Times New Roman" w:hAnsi="Times New Roman" w:eastAsia="Times New Roman"/>
                <w:sz w:val="18"/>
                <w:szCs w:val="18"/>
              </w:rPr>
            </w:pPr>
          </w:p>
        </w:tc>
      </w:tr>
    </w:tbl>
    <w:p w14:paraId="0C35F007">
      <w:pPr>
        <w:adjustRightInd/>
        <w:spacing w:line="240" w:lineRule="auto"/>
        <w:ind w:firstLine="420" w:firstLineChars="200"/>
        <w:rPr>
          <w:rFonts w:ascii="Times New Roman" w:hAnsi="Times New Roman"/>
        </w:rPr>
      </w:pPr>
      <w:r>
        <w:rPr>
          <w:rFonts w:ascii="Times New Roman" w:hAnsi="Times New Roman"/>
        </w:rPr>
        <w:t xml:space="preserve"> </w:t>
      </w:r>
    </w:p>
    <w:p w14:paraId="0C45ECCD">
      <w:pPr>
        <w:adjustRightInd/>
        <w:spacing w:before="100" w:beforeAutospacing="1" w:after="100" w:afterAutospacing="1" w:line="360" w:lineRule="auto"/>
        <w:ind w:left="420" w:leftChars="200"/>
        <w:contextualSpacing/>
        <w:rPr>
          <w:rFonts w:hint="eastAsia" w:ascii="黑体" w:hAnsi="黑体" w:eastAsia="黑体"/>
        </w:rPr>
      </w:pPr>
      <w:r>
        <w:rPr>
          <w:rFonts w:hint="eastAsia" w:ascii="黑体" w:hAnsi="黑体" w:eastAsia="黑体"/>
        </w:rPr>
        <w:t>4.数据质量评价（可选项）</w:t>
      </w:r>
    </w:p>
    <w:p w14:paraId="719A270C">
      <w:pPr>
        <w:adjustRightInd/>
        <w:spacing w:line="240" w:lineRule="auto"/>
        <w:ind w:firstLine="420" w:firstLineChars="200"/>
        <w:rPr>
          <w:rFonts w:ascii="Times New Roman" w:hAnsi="Times New Roman"/>
        </w:rPr>
      </w:pPr>
      <w:r>
        <w:rPr>
          <w:rFonts w:hint="eastAsia" w:ascii="宋体" w:hAnsi="宋体"/>
        </w:rPr>
        <w:t>数据质量可从定性和定量两个方面对报告使用的活动数据和碳足迹因子数据进行评价，具体评价内容包括数据可靠性、时间代表性、地理代表性和技术代表性。</w:t>
      </w:r>
    </w:p>
    <w:p w14:paraId="41D8E880">
      <w:pPr>
        <w:pStyle w:val="233"/>
        <w:numPr>
          <w:ilvl w:val="0"/>
          <w:numId w:val="32"/>
        </w:numPr>
        <w:tabs>
          <w:tab w:val="left" w:pos="567"/>
        </w:tabs>
        <w:adjustRightInd/>
        <w:spacing w:before="240" w:after="240" w:line="240" w:lineRule="auto"/>
        <w:ind w:firstLineChars="0"/>
        <w:contextualSpacing/>
        <w:rPr>
          <w:rFonts w:hint="eastAsia" w:ascii="黑体" w:hAnsi="黑体" w:eastAsia="黑体"/>
        </w:rPr>
      </w:pPr>
      <w:r>
        <w:rPr>
          <w:rFonts w:hint="eastAsia" w:ascii="黑体" w:hAnsi="黑体" w:eastAsia="黑体"/>
        </w:rPr>
        <w:t>影响评价</w:t>
      </w:r>
    </w:p>
    <w:p w14:paraId="395C5B21">
      <w:pPr>
        <w:adjustRightInd/>
        <w:spacing w:before="100" w:beforeAutospacing="1" w:after="100" w:afterAutospacing="1" w:line="360" w:lineRule="auto"/>
        <w:ind w:firstLine="420" w:firstLineChars="200"/>
        <w:contextualSpacing/>
        <w:rPr>
          <w:rFonts w:hint="eastAsia" w:ascii="黑体" w:hAnsi="黑体" w:eastAsia="黑体"/>
        </w:rPr>
      </w:pPr>
      <w:r>
        <w:rPr>
          <w:rFonts w:hint="eastAsia" w:ascii="黑体" w:hAnsi="黑体" w:eastAsia="黑体"/>
        </w:rPr>
        <w:t>1.影响类型和特征化因子选择</w:t>
      </w:r>
    </w:p>
    <w:p w14:paraId="2720D8A8">
      <w:pPr>
        <w:adjustRightInd/>
        <w:spacing w:line="240" w:lineRule="auto"/>
        <w:ind w:firstLine="420" w:firstLineChars="200"/>
        <w:rPr>
          <w:rFonts w:ascii="Times New Roman" w:hAnsi="Times New Roman"/>
        </w:rPr>
      </w:pPr>
      <w:r>
        <w:rPr>
          <w:rFonts w:hint="eastAsia" w:ascii="宋体" w:hAnsi="宋体"/>
        </w:rPr>
        <w:t>一般选择</w:t>
      </w:r>
      <w:r>
        <w:rPr>
          <w:rFonts w:hint="eastAsia" w:ascii="Times New Roman" w:hAnsi="Times New Roman"/>
        </w:rPr>
        <w:t>IPCC</w:t>
      </w:r>
      <w:r>
        <w:rPr>
          <w:rFonts w:hint="eastAsia" w:ascii="宋体" w:hAnsi="宋体"/>
        </w:rPr>
        <w:t>给出的</w:t>
      </w:r>
      <w:r>
        <w:rPr>
          <w:rFonts w:hint="eastAsia" w:ascii="Times New Roman" w:hAnsi="Times New Roman"/>
        </w:rPr>
        <w:t>100</w:t>
      </w:r>
      <w:r>
        <w:rPr>
          <w:rFonts w:hint="eastAsia" w:ascii="宋体" w:hAnsi="宋体"/>
        </w:rPr>
        <w:t>年</w:t>
      </w:r>
      <w:r>
        <w:rPr>
          <w:rFonts w:hint="eastAsia" w:ascii="Times New Roman" w:hAnsi="Times New Roman"/>
        </w:rPr>
        <w:t>GWP</w:t>
      </w:r>
      <w:r>
        <w:rPr>
          <w:rFonts w:hint="eastAsia" w:ascii="宋体" w:hAnsi="宋体"/>
        </w:rPr>
        <w:t>。</w:t>
      </w:r>
    </w:p>
    <w:p w14:paraId="711D1F3C">
      <w:pPr>
        <w:adjustRightInd/>
        <w:spacing w:before="100" w:beforeAutospacing="1" w:after="100" w:afterAutospacing="1" w:line="360" w:lineRule="auto"/>
        <w:ind w:firstLine="420" w:firstLineChars="200"/>
        <w:contextualSpacing/>
        <w:rPr>
          <w:rFonts w:hint="eastAsia" w:ascii="黑体" w:hAnsi="黑体" w:eastAsia="黑体"/>
        </w:rPr>
      </w:pPr>
      <w:r>
        <w:rPr>
          <w:rFonts w:hint="eastAsia" w:ascii="黑体" w:hAnsi="黑体" w:eastAsia="黑体"/>
        </w:rPr>
        <w:t>2.服务碳足迹结果计算</w:t>
      </w:r>
    </w:p>
    <w:p w14:paraId="3A60E280">
      <w:pPr>
        <w:pStyle w:val="233"/>
        <w:numPr>
          <w:ilvl w:val="0"/>
          <w:numId w:val="32"/>
        </w:numPr>
        <w:adjustRightInd/>
        <w:spacing w:before="100" w:beforeAutospacing="1" w:after="100" w:afterAutospacing="1" w:line="360" w:lineRule="auto"/>
        <w:ind w:firstLineChars="0"/>
        <w:contextualSpacing/>
        <w:rPr>
          <w:rFonts w:hint="eastAsia" w:ascii="黑体" w:hAnsi="黑体" w:eastAsia="黑体"/>
        </w:rPr>
      </w:pPr>
      <w:r>
        <w:rPr>
          <w:rFonts w:hint="eastAsia" w:ascii="黑体" w:hAnsi="黑体" w:eastAsia="黑体"/>
        </w:rPr>
        <w:t>结果解释</w:t>
      </w:r>
    </w:p>
    <w:p w14:paraId="31DE0BDD">
      <w:pPr>
        <w:adjustRightInd/>
        <w:spacing w:before="100" w:beforeAutospacing="1" w:after="100" w:afterAutospacing="1" w:line="360" w:lineRule="auto"/>
        <w:ind w:firstLine="420" w:firstLineChars="200"/>
        <w:contextualSpacing/>
        <w:rPr>
          <w:rFonts w:hint="eastAsia" w:ascii="黑体" w:hAnsi="黑体" w:eastAsia="黑体"/>
        </w:rPr>
      </w:pPr>
      <w:r>
        <w:rPr>
          <w:rFonts w:hint="eastAsia" w:ascii="黑体" w:hAnsi="黑体" w:eastAsia="黑体"/>
        </w:rPr>
        <w:t>1.结果说明</w:t>
      </w:r>
    </w:p>
    <w:p w14:paraId="2E79DC14">
      <w:pPr>
        <w:adjustRightInd/>
        <w:spacing w:line="240" w:lineRule="auto"/>
        <w:ind w:firstLine="420" w:firstLineChars="200"/>
        <w:rPr>
          <w:rFonts w:ascii="Times New Roman" w:hAnsi="Times New Roman"/>
        </w:rPr>
      </w:pPr>
      <w:r>
        <w:rPr>
          <w:rFonts w:hint="eastAsia" w:ascii="Times New Roman" w:hAnsi="Times New Roman"/>
        </w:rPr>
        <w:t>________</w:t>
      </w:r>
      <w:r>
        <w:rPr>
          <w:rFonts w:hint="eastAsia" w:ascii="宋体" w:hAnsi="宋体"/>
        </w:rPr>
        <w:t>公司（填写服务提供者全名）提供的</w:t>
      </w:r>
      <w:r>
        <w:rPr>
          <w:rFonts w:hint="eastAsia" w:ascii="Times New Roman" w:hAnsi="Times New Roman"/>
        </w:rPr>
        <w:t>___________________</w:t>
      </w:r>
      <w:r>
        <w:rPr>
          <w:rFonts w:hint="eastAsia" w:ascii="宋体" w:hAnsi="宋体"/>
        </w:rPr>
        <w:t>（填写所评价的服务名称，没功能单位的服务），从</w:t>
      </w:r>
      <w:r>
        <w:rPr>
          <w:rFonts w:hint="eastAsia" w:ascii="Times New Roman" w:hAnsi="Times New Roman"/>
        </w:rPr>
        <w:t>____________</w:t>
      </w:r>
      <w:r>
        <w:rPr>
          <w:rFonts w:hint="eastAsia" w:ascii="宋体" w:hAnsi="宋体"/>
        </w:rPr>
        <w:t>（填写某生命阶段）到</w:t>
      </w:r>
      <w:r>
        <w:rPr>
          <w:rFonts w:hint="eastAsia" w:ascii="Times New Roman" w:hAnsi="Times New Roman"/>
        </w:rPr>
        <w:t>____________</w:t>
      </w:r>
      <w:r>
        <w:rPr>
          <w:rFonts w:hint="eastAsia" w:ascii="宋体" w:hAnsi="宋体"/>
        </w:rPr>
        <w:t>（填写某生命阶段）生命周期碳足迹为</w:t>
      </w:r>
      <w:r>
        <w:rPr>
          <w:rFonts w:hint="eastAsia" w:ascii="Times New Roman" w:hAnsi="Times New Roman"/>
        </w:rPr>
        <w:t>_________kgCO</w:t>
      </w:r>
      <w:r>
        <w:rPr>
          <w:rFonts w:hint="eastAsia" w:ascii="Times New Roman" w:hAnsi="Times New Roman"/>
          <w:vertAlign w:val="subscript"/>
        </w:rPr>
        <w:t>2</w:t>
      </w:r>
      <w:r>
        <w:rPr>
          <w:rFonts w:hint="eastAsia" w:ascii="Times New Roman" w:hAnsi="Times New Roman"/>
        </w:rPr>
        <w:t>e</w:t>
      </w:r>
      <w:r>
        <w:rPr>
          <w:rFonts w:hint="eastAsia" w:ascii="宋体" w:hAnsi="宋体"/>
        </w:rPr>
        <w:t>。各生命周期阶段的温室气体排放情况如表</w:t>
      </w:r>
      <w:r>
        <w:rPr>
          <w:rFonts w:hint="eastAsia" w:ascii="Times New Roman" w:hAnsi="Times New Roman"/>
        </w:rPr>
        <w:t>2</w:t>
      </w:r>
      <w:r>
        <w:rPr>
          <w:rFonts w:hint="eastAsia" w:ascii="宋体" w:hAnsi="宋体"/>
        </w:rPr>
        <w:t>和图</w:t>
      </w:r>
      <w:r>
        <w:rPr>
          <w:rFonts w:hint="eastAsia" w:ascii="Times New Roman" w:hAnsi="Times New Roman"/>
        </w:rPr>
        <w:t>2</w:t>
      </w:r>
      <w:r>
        <w:rPr>
          <w:rFonts w:hint="eastAsia" w:ascii="宋体" w:hAnsi="宋体"/>
        </w:rPr>
        <w:t>所示。</w:t>
      </w:r>
    </w:p>
    <w:p w14:paraId="13FCA6FD">
      <w:pPr>
        <w:keepNext/>
        <w:adjustRightInd/>
        <w:spacing w:line="240" w:lineRule="auto"/>
        <w:jc w:val="center"/>
        <w:rPr>
          <w:rFonts w:hint="eastAsia" w:ascii="黑体" w:hAnsi="黑体" w:eastAsia="黑体"/>
          <w:sz w:val="20"/>
          <w:szCs w:val="20"/>
        </w:rPr>
      </w:pPr>
      <w:r>
        <w:rPr>
          <w:rFonts w:hint="eastAsia" w:ascii="黑体" w:hAnsi="黑体" w:eastAsia="黑体"/>
          <w:sz w:val="20"/>
          <w:szCs w:val="20"/>
        </w:rPr>
        <w:t>表2 ___________生命周期各阶段碳排放情况</w:t>
      </w:r>
    </w:p>
    <w:tbl>
      <w:tblPr>
        <w:tblStyle w:val="231"/>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762"/>
        <w:gridCol w:w="2762"/>
        <w:gridCol w:w="2762"/>
      </w:tblGrid>
      <w:tr w14:paraId="754CE4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8" w:space="0"/>
              <w:left w:val="single" w:color="auto" w:sz="8" w:space="0"/>
              <w:bottom w:val="single" w:color="auto" w:sz="4" w:space="0"/>
              <w:right w:val="single" w:color="auto" w:sz="4" w:space="0"/>
            </w:tcBorders>
          </w:tcPr>
          <w:p w14:paraId="5E9EE278">
            <w:pPr>
              <w:adjustRightInd/>
              <w:spacing w:line="240" w:lineRule="auto"/>
              <w:jc w:val="center"/>
              <w:rPr>
                <w:rFonts w:ascii="Times New Roman" w:hAnsi="Times New Roman" w:eastAsia="Times New Roman"/>
                <w:sz w:val="18"/>
                <w:szCs w:val="18"/>
              </w:rPr>
            </w:pPr>
            <w:r>
              <w:rPr>
                <w:rFonts w:hint="eastAsia" w:ascii="宋体" w:hAnsi="宋体" w:eastAsia="Times New Roman"/>
                <w:sz w:val="18"/>
                <w:szCs w:val="18"/>
              </w:rPr>
              <w:t>生命周期阶段</w:t>
            </w:r>
          </w:p>
        </w:tc>
        <w:tc>
          <w:tcPr>
            <w:tcW w:w="2762" w:type="dxa"/>
            <w:tcBorders>
              <w:top w:val="single" w:color="auto" w:sz="8" w:space="0"/>
              <w:left w:val="single" w:color="auto" w:sz="4" w:space="0"/>
              <w:bottom w:val="single" w:color="auto" w:sz="4" w:space="0"/>
              <w:right w:val="single" w:color="auto" w:sz="4" w:space="0"/>
            </w:tcBorders>
          </w:tcPr>
          <w:p w14:paraId="1062F608">
            <w:pPr>
              <w:adjustRightInd/>
              <w:spacing w:line="240" w:lineRule="auto"/>
              <w:jc w:val="center"/>
              <w:rPr>
                <w:rFonts w:ascii="Times New Roman" w:hAnsi="Times New Roman" w:eastAsia="Times New Roman"/>
                <w:sz w:val="18"/>
                <w:szCs w:val="18"/>
              </w:rPr>
            </w:pPr>
            <w:r>
              <w:rPr>
                <w:rFonts w:hint="eastAsia" w:ascii="宋体" w:hAnsi="宋体" w:eastAsia="Times New Roman"/>
                <w:sz w:val="18"/>
                <w:szCs w:val="18"/>
              </w:rPr>
              <w:t>碳足迹</w:t>
            </w:r>
            <w:r>
              <w:rPr>
                <w:rFonts w:hint="eastAsia" w:ascii="Times New Roman" w:hAnsi="Times New Roman" w:eastAsia="Times New Roman"/>
                <w:sz w:val="18"/>
                <w:szCs w:val="18"/>
              </w:rPr>
              <w:t>/</w:t>
            </w:r>
            <w:r>
              <w:rPr>
                <w:rFonts w:hint="eastAsia" w:ascii="宋体" w:hAnsi="宋体" w:eastAsia="Times New Roman"/>
                <w:sz w:val="18"/>
                <w:szCs w:val="18"/>
              </w:rPr>
              <w:t>（</w:t>
            </w:r>
            <w:r>
              <w:rPr>
                <w:rFonts w:hint="eastAsia" w:ascii="Times New Roman" w:hAnsi="Times New Roman" w:eastAsia="Times New Roman"/>
                <w:sz w:val="18"/>
                <w:szCs w:val="18"/>
              </w:rPr>
              <w:t>kgCO</w:t>
            </w:r>
            <w:r>
              <w:rPr>
                <w:rFonts w:hint="eastAsia" w:ascii="Times New Roman" w:hAnsi="Times New Roman" w:eastAsia="Times New Roman"/>
                <w:sz w:val="18"/>
                <w:szCs w:val="18"/>
                <w:vertAlign w:val="subscript"/>
              </w:rPr>
              <w:t>2</w:t>
            </w:r>
            <w:r>
              <w:rPr>
                <w:rFonts w:hint="eastAsia" w:ascii="Times New Roman" w:hAnsi="Times New Roman" w:eastAsia="Times New Roman"/>
                <w:sz w:val="18"/>
                <w:szCs w:val="18"/>
              </w:rPr>
              <w:t>e/</w:t>
            </w:r>
            <w:r>
              <w:rPr>
                <w:rFonts w:hint="eastAsia" w:ascii="宋体" w:hAnsi="宋体" w:eastAsia="Times New Roman"/>
                <w:sz w:val="18"/>
                <w:szCs w:val="18"/>
              </w:rPr>
              <w:t>功能单位）</w:t>
            </w:r>
          </w:p>
        </w:tc>
        <w:tc>
          <w:tcPr>
            <w:tcW w:w="2762" w:type="dxa"/>
            <w:tcBorders>
              <w:top w:val="single" w:color="auto" w:sz="8" w:space="0"/>
              <w:left w:val="single" w:color="auto" w:sz="4" w:space="0"/>
              <w:bottom w:val="single" w:color="auto" w:sz="4" w:space="0"/>
              <w:right w:val="single" w:color="auto" w:sz="8" w:space="0"/>
            </w:tcBorders>
          </w:tcPr>
          <w:p w14:paraId="3F853B9E">
            <w:pPr>
              <w:adjustRightInd/>
              <w:spacing w:line="240" w:lineRule="auto"/>
              <w:jc w:val="center"/>
              <w:rPr>
                <w:rFonts w:ascii="Times New Roman" w:hAnsi="Times New Roman" w:eastAsia="Times New Roman"/>
                <w:sz w:val="18"/>
                <w:szCs w:val="18"/>
              </w:rPr>
            </w:pPr>
            <w:r>
              <w:rPr>
                <w:rFonts w:hint="eastAsia" w:ascii="宋体" w:hAnsi="宋体" w:eastAsia="Times New Roman"/>
                <w:sz w:val="18"/>
                <w:szCs w:val="18"/>
              </w:rPr>
              <w:t>百分比</w:t>
            </w:r>
          </w:p>
        </w:tc>
      </w:tr>
      <w:tr w14:paraId="4FD3A7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4" w:space="0"/>
              <w:left w:val="single" w:color="auto" w:sz="8" w:space="0"/>
              <w:bottom w:val="single" w:color="auto" w:sz="4" w:space="0"/>
              <w:right w:val="single" w:color="auto" w:sz="4" w:space="0"/>
            </w:tcBorders>
          </w:tcPr>
          <w:p w14:paraId="21E3329D">
            <w:pPr>
              <w:adjustRightInd/>
              <w:spacing w:line="240" w:lineRule="auto"/>
              <w:jc w:val="center"/>
              <w:rPr>
                <w:rFonts w:ascii="Times New Roman" w:hAnsi="Times New Roman" w:eastAsia="Times New Roman"/>
                <w:sz w:val="18"/>
                <w:szCs w:val="18"/>
              </w:rPr>
            </w:pPr>
            <w:r>
              <w:rPr>
                <w:rFonts w:hint="eastAsia" w:ascii="宋体" w:hAnsi="宋体" w:eastAsia="Times New Roman"/>
                <w:sz w:val="18"/>
                <w:szCs w:val="18"/>
              </w:rPr>
              <w:t>原材料获取</w:t>
            </w:r>
          </w:p>
        </w:tc>
        <w:tc>
          <w:tcPr>
            <w:tcW w:w="2762" w:type="dxa"/>
            <w:tcBorders>
              <w:top w:val="single" w:color="auto" w:sz="4" w:space="0"/>
              <w:left w:val="single" w:color="auto" w:sz="4" w:space="0"/>
              <w:bottom w:val="single" w:color="auto" w:sz="4" w:space="0"/>
              <w:right w:val="single" w:color="auto" w:sz="4" w:space="0"/>
            </w:tcBorders>
          </w:tcPr>
          <w:p w14:paraId="241979CB">
            <w:pPr>
              <w:adjustRightInd/>
              <w:spacing w:line="240" w:lineRule="auto"/>
              <w:jc w:val="center"/>
              <w:rPr>
                <w:rFonts w:ascii="Times New Roman" w:hAnsi="Times New Roman" w:eastAsia="Times New Roman"/>
                <w:sz w:val="18"/>
                <w:szCs w:val="18"/>
              </w:rPr>
            </w:pPr>
          </w:p>
        </w:tc>
        <w:tc>
          <w:tcPr>
            <w:tcW w:w="2762" w:type="dxa"/>
            <w:tcBorders>
              <w:top w:val="single" w:color="auto" w:sz="4" w:space="0"/>
              <w:left w:val="single" w:color="auto" w:sz="4" w:space="0"/>
              <w:bottom w:val="single" w:color="auto" w:sz="4" w:space="0"/>
              <w:right w:val="single" w:color="auto" w:sz="8" w:space="0"/>
            </w:tcBorders>
          </w:tcPr>
          <w:p w14:paraId="0062228A">
            <w:pPr>
              <w:adjustRightInd/>
              <w:spacing w:line="240" w:lineRule="auto"/>
              <w:jc w:val="center"/>
              <w:rPr>
                <w:rFonts w:ascii="Times New Roman" w:hAnsi="Times New Roman" w:eastAsia="Times New Roman"/>
                <w:sz w:val="18"/>
                <w:szCs w:val="18"/>
              </w:rPr>
            </w:pPr>
          </w:p>
        </w:tc>
      </w:tr>
      <w:tr w14:paraId="2FDBDF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762" w:type="dxa"/>
            <w:tcBorders>
              <w:top w:val="single" w:color="auto" w:sz="4" w:space="0"/>
              <w:left w:val="single" w:color="auto" w:sz="8" w:space="0"/>
              <w:bottom w:val="single" w:color="auto" w:sz="8" w:space="0"/>
              <w:right w:val="single" w:color="auto" w:sz="4" w:space="0"/>
            </w:tcBorders>
          </w:tcPr>
          <w:p w14:paraId="05D483C0">
            <w:pPr>
              <w:adjustRightInd/>
              <w:spacing w:line="240" w:lineRule="auto"/>
              <w:jc w:val="center"/>
              <w:rPr>
                <w:rFonts w:ascii="Times New Roman" w:hAnsi="Times New Roman" w:eastAsia="Times New Roman"/>
                <w:sz w:val="18"/>
                <w:szCs w:val="18"/>
              </w:rPr>
            </w:pPr>
            <w:r>
              <w:rPr>
                <w:rFonts w:hint="eastAsia" w:ascii="宋体" w:hAnsi="宋体" w:eastAsia="Times New Roman"/>
                <w:sz w:val="18"/>
                <w:szCs w:val="18"/>
              </w:rPr>
              <w:t>生产</w:t>
            </w:r>
          </w:p>
        </w:tc>
        <w:tc>
          <w:tcPr>
            <w:tcW w:w="2762" w:type="dxa"/>
            <w:tcBorders>
              <w:top w:val="single" w:color="auto" w:sz="4" w:space="0"/>
              <w:left w:val="single" w:color="auto" w:sz="4" w:space="0"/>
              <w:bottom w:val="single" w:color="auto" w:sz="8" w:space="0"/>
              <w:right w:val="single" w:color="auto" w:sz="4" w:space="0"/>
            </w:tcBorders>
          </w:tcPr>
          <w:p w14:paraId="44CF0DD4">
            <w:pPr>
              <w:adjustRightInd/>
              <w:spacing w:line="240" w:lineRule="auto"/>
              <w:jc w:val="center"/>
              <w:rPr>
                <w:rFonts w:ascii="Times New Roman" w:hAnsi="Times New Roman" w:eastAsia="Times New Roman"/>
                <w:sz w:val="18"/>
                <w:szCs w:val="18"/>
              </w:rPr>
            </w:pPr>
          </w:p>
        </w:tc>
        <w:tc>
          <w:tcPr>
            <w:tcW w:w="2762" w:type="dxa"/>
            <w:tcBorders>
              <w:top w:val="single" w:color="auto" w:sz="4" w:space="0"/>
              <w:left w:val="single" w:color="auto" w:sz="4" w:space="0"/>
              <w:bottom w:val="single" w:color="auto" w:sz="8" w:space="0"/>
              <w:right w:val="single" w:color="auto" w:sz="8" w:space="0"/>
            </w:tcBorders>
          </w:tcPr>
          <w:p w14:paraId="565256E1">
            <w:pPr>
              <w:adjustRightInd/>
              <w:spacing w:line="240" w:lineRule="auto"/>
              <w:jc w:val="center"/>
              <w:rPr>
                <w:rFonts w:ascii="Times New Roman" w:hAnsi="Times New Roman" w:eastAsia="Times New Roman"/>
                <w:sz w:val="18"/>
                <w:szCs w:val="18"/>
              </w:rPr>
            </w:pPr>
          </w:p>
        </w:tc>
      </w:tr>
    </w:tbl>
    <w:p w14:paraId="2129D63F">
      <w:pPr>
        <w:adjustRightInd/>
        <w:spacing w:line="240" w:lineRule="auto"/>
        <w:ind w:firstLine="420" w:firstLineChars="200"/>
        <w:rPr>
          <w:rFonts w:ascii="Times New Roman" w:hAnsi="Times New Roman"/>
        </w:rPr>
      </w:pPr>
      <w:r>
        <w:rPr>
          <w:rFonts w:ascii="Times New Roman" w:hAnsi="Times New Roman"/>
        </w:rPr>
        <w:t xml:space="preserve"> </w:t>
      </w:r>
    </w:p>
    <w:p w14:paraId="5D0CF83D">
      <w:pPr>
        <w:adjustRightInd/>
        <w:spacing w:line="240" w:lineRule="auto"/>
        <w:ind w:firstLine="420" w:firstLineChars="200"/>
        <w:rPr>
          <w:rFonts w:ascii="Times New Roman" w:hAnsi="Times New Roman"/>
        </w:rPr>
      </w:pPr>
      <w:r>
        <w:rPr>
          <w:rFonts w:ascii="Times New Roman" w:hAnsi="Times New Roman"/>
        </w:rPr>
        <w:t xml:space="preserve"> </w:t>
      </w:r>
    </w:p>
    <w:p w14:paraId="559C35B1">
      <w:pPr>
        <w:adjustRightInd/>
        <w:spacing w:line="240" w:lineRule="auto"/>
        <w:ind w:firstLine="420" w:firstLineChars="200"/>
        <w:rPr>
          <w:rFonts w:ascii="Times New Roman" w:hAnsi="Times New Roman"/>
        </w:rPr>
      </w:pPr>
      <w:r>
        <w:rPr>
          <w:rFonts w:ascii="Times New Roman" w:hAnsi="Times New Roman"/>
        </w:rPr>
        <w:t xml:space="preserve"> </w:t>
      </w:r>
    </w:p>
    <w:p w14:paraId="64C4B8F7">
      <w:pPr>
        <w:adjustRightInd/>
        <w:spacing w:line="240" w:lineRule="auto"/>
        <w:ind w:firstLine="420" w:firstLineChars="200"/>
        <w:rPr>
          <w:rFonts w:ascii="Times New Roman" w:hAnsi="Times New Roman"/>
        </w:rPr>
      </w:pPr>
      <w:r>
        <w:rPr>
          <w:rFonts w:ascii="Times New Roman" w:hAnsi="Times New Roman"/>
        </w:rPr>
        <w:t xml:space="preserve"> </w:t>
      </w:r>
    </w:p>
    <w:p w14:paraId="69F8CA9F">
      <w:pPr>
        <w:adjustRightInd/>
        <w:spacing w:line="240" w:lineRule="auto"/>
        <w:ind w:firstLine="420" w:firstLineChars="200"/>
        <w:rPr>
          <w:rFonts w:ascii="Times New Roman" w:hAnsi="Times New Roman"/>
        </w:rPr>
      </w:pPr>
      <w:r>
        <w:rPr>
          <w:rFonts w:ascii="Times New Roman" w:hAnsi="Times New Roman"/>
        </w:rPr>
        <w:t xml:space="preserve"> </w:t>
      </w:r>
    </w:p>
    <w:p w14:paraId="08822F60">
      <w:pPr>
        <w:adjustRightInd/>
        <w:spacing w:line="240" w:lineRule="auto"/>
        <w:ind w:firstLine="420" w:firstLineChars="200"/>
        <w:rPr>
          <w:rFonts w:ascii="Times New Roman" w:hAnsi="Times New Roman"/>
        </w:rPr>
      </w:pPr>
      <w:r>
        <w:rPr>
          <w:rFonts w:ascii="Times New Roman" w:hAnsi="Times New Roman"/>
        </w:rPr>
        <w:t xml:space="preserve"> </w:t>
      </w:r>
    </w:p>
    <w:p w14:paraId="056021C9">
      <w:pPr>
        <w:adjustRightInd/>
        <w:spacing w:line="240" w:lineRule="auto"/>
        <w:ind w:firstLine="420" w:firstLineChars="200"/>
        <w:rPr>
          <w:rFonts w:ascii="Times New Roman" w:hAnsi="Times New Roman"/>
        </w:rPr>
      </w:pPr>
      <w:r>
        <w:rPr>
          <w:rFonts w:ascii="Times New Roman" w:hAnsi="Times New Roman"/>
        </w:rPr>
        <w:t xml:space="preserve"> </w:t>
      </w:r>
    </w:p>
    <w:p w14:paraId="53FCE06E">
      <w:pPr>
        <w:adjustRightInd/>
        <w:spacing w:line="240" w:lineRule="auto"/>
        <w:ind w:firstLine="420" w:firstLineChars="200"/>
        <w:rPr>
          <w:rFonts w:ascii="Times New Roman" w:hAnsi="Times New Roman"/>
        </w:rPr>
      </w:pPr>
      <w:r>
        <w:rPr>
          <w:rFonts w:ascii="Times New Roman" w:hAnsi="Times New Roman"/>
        </w:rPr>
        <w:t xml:space="preserve"> </w:t>
      </w:r>
    </w:p>
    <w:p w14:paraId="273AAF95">
      <w:pPr>
        <w:adjustRightInd/>
        <w:spacing w:line="240" w:lineRule="auto"/>
        <w:ind w:firstLine="360" w:firstLineChars="200"/>
        <w:rPr>
          <w:rFonts w:ascii="Times New Roman" w:hAnsi="Times New Roman"/>
          <w:sz w:val="18"/>
          <w:szCs w:val="18"/>
        </w:rPr>
      </w:pPr>
      <w:r>
        <w:rPr>
          <w:rFonts w:ascii="黑体" w:hAnsi="黑体" w:eastAsia="黑体"/>
          <w:sz w:val="18"/>
          <w:szCs w:val="18"/>
        </w:rPr>
        <w:t>注</w:t>
      </w:r>
      <w:r>
        <w:rPr>
          <w:rFonts w:ascii="宋体" w:hAnsi="宋体" w:eastAsia="等线"/>
          <w:sz w:val="18"/>
          <w:szCs w:val="18"/>
        </w:rPr>
        <w:t>：具体服务声明周期阶段碳排放分布图一般以饼状图或柱形图表示各生命周期阶段的碳排放情况。</w:t>
      </w:r>
    </w:p>
    <w:p w14:paraId="116EB5E2">
      <w:pPr>
        <w:keepNext/>
        <w:adjustRightInd/>
        <w:spacing w:line="240" w:lineRule="auto"/>
        <w:jc w:val="center"/>
        <w:rPr>
          <w:rFonts w:hint="eastAsia" w:ascii="黑体" w:hAnsi="黑体" w:eastAsia="黑体"/>
          <w:sz w:val="20"/>
          <w:szCs w:val="20"/>
        </w:rPr>
      </w:pPr>
      <w:r>
        <w:rPr>
          <w:rFonts w:hint="eastAsia" w:ascii="黑体" w:hAnsi="黑体" w:eastAsia="黑体"/>
          <w:sz w:val="20"/>
          <w:szCs w:val="20"/>
        </w:rPr>
        <w:t>图2 XX各声明周期阶段碳排放分布图</w:t>
      </w:r>
    </w:p>
    <w:p w14:paraId="5F444EE7">
      <w:pPr>
        <w:adjustRightInd/>
        <w:spacing w:line="240" w:lineRule="auto"/>
        <w:ind w:firstLine="420" w:firstLineChars="200"/>
        <w:rPr>
          <w:rFonts w:ascii="Times New Roman" w:hAnsi="Times New Roman"/>
        </w:rPr>
      </w:pPr>
      <w:r>
        <w:rPr>
          <w:rFonts w:ascii="Times New Roman" w:hAnsi="Times New Roman"/>
        </w:rPr>
        <w:t xml:space="preserve"> </w:t>
      </w:r>
    </w:p>
    <w:p w14:paraId="5A93EFC6">
      <w:pPr>
        <w:adjustRightInd/>
        <w:spacing w:before="100" w:beforeAutospacing="1" w:after="100" w:afterAutospacing="1" w:line="360" w:lineRule="auto"/>
        <w:ind w:firstLine="420" w:firstLineChars="200"/>
        <w:contextualSpacing/>
        <w:rPr>
          <w:rFonts w:hint="eastAsia" w:ascii="黑体" w:hAnsi="黑体" w:eastAsia="黑体"/>
        </w:rPr>
      </w:pPr>
      <w:r>
        <w:rPr>
          <w:rFonts w:hint="eastAsia" w:ascii="黑体" w:hAnsi="黑体" w:eastAsia="黑体"/>
        </w:rPr>
        <w:t>2.假设和局限性说明（可选项）</w:t>
      </w:r>
    </w:p>
    <w:p w14:paraId="7862626E">
      <w:pPr>
        <w:adjustRightInd/>
        <w:spacing w:line="240" w:lineRule="auto"/>
        <w:ind w:firstLine="420" w:firstLineChars="200"/>
        <w:rPr>
          <w:rFonts w:ascii="Times New Roman" w:hAnsi="Times New Roman"/>
        </w:rPr>
      </w:pPr>
      <w:r>
        <w:rPr>
          <w:rFonts w:hint="eastAsia" w:ascii="宋体" w:hAnsi="宋体"/>
        </w:rPr>
        <w:t>结合量化情况，对范围、数据选择、情景设定等相关的假设和局限进行说明。</w:t>
      </w:r>
    </w:p>
    <w:p w14:paraId="71671E8D">
      <w:pPr>
        <w:adjustRightInd/>
        <w:spacing w:before="100" w:beforeAutospacing="1" w:after="100" w:afterAutospacing="1" w:line="360" w:lineRule="auto"/>
        <w:ind w:firstLine="420" w:firstLineChars="200"/>
        <w:contextualSpacing/>
        <w:rPr>
          <w:rFonts w:hint="eastAsia" w:ascii="黑体" w:hAnsi="黑体" w:eastAsia="黑体"/>
        </w:rPr>
      </w:pPr>
      <w:r>
        <w:rPr>
          <w:rFonts w:hint="eastAsia" w:ascii="黑体" w:hAnsi="黑体" w:eastAsia="黑体"/>
        </w:rPr>
        <w:t>3.改进建议</w:t>
      </w:r>
    </w:p>
    <w:p w14:paraId="1C0C0C86">
      <w:pPr>
        <w:adjustRightInd/>
        <w:spacing w:line="240" w:lineRule="auto"/>
        <w:ind w:firstLine="420" w:firstLineChars="200"/>
        <w:rPr>
          <w:rFonts w:ascii="Times New Roman" w:hAnsi="Times New Roman"/>
        </w:rPr>
      </w:pPr>
      <w:r>
        <w:rPr>
          <w:rFonts w:ascii="Times New Roman" w:hAnsi="Times New Roman"/>
        </w:rPr>
        <w:t xml:space="preserve"> </w:t>
      </w:r>
    </w:p>
    <w:p w14:paraId="1549298E">
      <w:pPr>
        <w:adjustRightInd/>
        <w:spacing w:line="240" w:lineRule="auto"/>
        <w:ind w:firstLine="420" w:firstLineChars="200"/>
        <w:rPr>
          <w:rFonts w:ascii="Times New Roman" w:hAnsi="Times New Roman"/>
        </w:rPr>
      </w:pPr>
      <w:r>
        <w:rPr>
          <w:rFonts w:ascii="Times New Roman" w:hAnsi="Times New Roman"/>
        </w:rPr>
        <w:t xml:space="preserve"> </w:t>
      </w:r>
    </w:p>
    <w:p w14:paraId="589C10C0">
      <w:pPr>
        <w:pStyle w:val="56"/>
        <w:ind w:firstLine="420"/>
      </w:pPr>
    </w:p>
    <w:p w14:paraId="2D0BC1D1">
      <w:pPr>
        <w:pStyle w:val="56"/>
        <w:ind w:firstLine="420"/>
      </w:pPr>
    </w:p>
    <w:bookmarkEnd w:id="92"/>
    <w:p w14:paraId="0BF5C7AB">
      <w:pPr>
        <w:pStyle w:val="56"/>
        <w:ind w:firstLine="420"/>
        <w:sectPr>
          <w:pgSz w:w="11906" w:h="16838"/>
          <w:pgMar w:top="1928" w:right="1134" w:bottom="1134" w:left="1134" w:header="1418" w:footer="1134" w:gutter="284"/>
          <w:cols w:space="425" w:num="1"/>
          <w:formProt w:val="0"/>
          <w:docGrid w:linePitch="312" w:charSpace="0"/>
        </w:sectPr>
      </w:pPr>
      <w:bookmarkStart w:id="104" w:name="BookMark6"/>
    </w:p>
    <w:p w14:paraId="400FA22D">
      <w:pPr>
        <w:pStyle w:val="63"/>
        <w:spacing w:after="120"/>
      </w:pPr>
      <w:bookmarkStart w:id="105" w:name="_Toc231215129"/>
      <w:r>
        <w:rPr>
          <w:rFonts w:hint="eastAsia"/>
          <w:spacing w:val="105"/>
        </w:rPr>
        <w:t>参考文</w:t>
      </w:r>
      <w:r>
        <w:rPr>
          <w:rFonts w:hint="eastAsia"/>
        </w:rPr>
        <w:t>献</w:t>
      </w:r>
      <w:bookmarkEnd w:id="105"/>
    </w:p>
    <w:p w14:paraId="1970FF8F">
      <w:pPr>
        <w:pStyle w:val="232"/>
        <w:numPr>
          <w:ilvl w:val="0"/>
          <w:numId w:val="33"/>
        </w:numPr>
        <w:ind w:firstLineChars="0"/>
      </w:pPr>
      <w:r>
        <w:rPr>
          <w:rFonts w:hint="eastAsia"/>
        </w:rPr>
        <w:t>GB/T 2589</w:t>
      </w:r>
      <w:r>
        <w:rPr>
          <w:rFonts w:hint="eastAsia" w:ascii="宋体" w:hAnsi="宋体"/>
        </w:rPr>
        <w:t>—</w:t>
      </w:r>
      <w:r>
        <w:rPr>
          <w:rFonts w:hint="eastAsia"/>
        </w:rPr>
        <w:t xml:space="preserve">2020 </w:t>
      </w:r>
      <w:r>
        <w:rPr>
          <w:rFonts w:hint="eastAsia" w:ascii="宋体" w:hAnsi="宋体"/>
        </w:rPr>
        <w:t>综合能耗计算通则</w:t>
      </w:r>
    </w:p>
    <w:p w14:paraId="1F08D044">
      <w:pPr>
        <w:pStyle w:val="232"/>
        <w:numPr>
          <w:ilvl w:val="0"/>
          <w:numId w:val="33"/>
        </w:numPr>
        <w:ind w:firstLineChars="0"/>
      </w:pPr>
      <w:r>
        <w:rPr>
          <w:rFonts w:hint="eastAsia" w:ascii="宋体" w:hAnsi="宋体"/>
        </w:rPr>
        <w:t>《</w:t>
      </w:r>
      <w:r>
        <w:rPr>
          <w:rFonts w:hint="eastAsia"/>
        </w:rPr>
        <w:t xml:space="preserve">2006 </w:t>
      </w:r>
      <w:r>
        <w:rPr>
          <w:rFonts w:hint="eastAsia" w:ascii="宋体" w:hAnsi="宋体"/>
        </w:rPr>
        <w:t xml:space="preserve">年 </w:t>
      </w:r>
      <w:r>
        <w:rPr>
          <w:rFonts w:hint="eastAsia"/>
        </w:rPr>
        <w:t xml:space="preserve">IPCC </w:t>
      </w:r>
      <w:r>
        <w:rPr>
          <w:rFonts w:hint="eastAsia" w:ascii="宋体" w:hAnsi="宋体"/>
        </w:rPr>
        <w:t>国家温室气体清单指南》（</w:t>
      </w:r>
      <w:r>
        <w:rPr>
          <w:rFonts w:hint="eastAsia"/>
        </w:rPr>
        <w:t xml:space="preserve">2019 </w:t>
      </w:r>
      <w:r>
        <w:rPr>
          <w:rFonts w:hint="eastAsia" w:ascii="宋体" w:hAnsi="宋体"/>
        </w:rPr>
        <w:t xml:space="preserve">年修订版，政府间气候变化专门委员会 </w:t>
      </w:r>
      <w:r>
        <w:rPr>
          <w:rFonts w:hint="eastAsia"/>
        </w:rPr>
        <w:t>IPCC</w:t>
      </w:r>
      <w:r>
        <w:rPr>
          <w:rFonts w:hint="eastAsia" w:ascii="宋体" w:hAnsi="宋体"/>
        </w:rPr>
        <w:t>）</w:t>
      </w:r>
    </w:p>
    <w:p w14:paraId="302A86D6">
      <w:pPr>
        <w:pStyle w:val="232"/>
        <w:numPr>
          <w:ilvl w:val="0"/>
          <w:numId w:val="33"/>
        </w:numPr>
        <w:ind w:firstLineChars="0"/>
      </w:pPr>
      <w:r>
        <w:rPr>
          <w:rFonts w:hint="eastAsia" w:ascii="宋体" w:hAnsi="宋体"/>
        </w:rPr>
        <w:t>《省级温室气体清单编制指南（修订版）》（生态环境部）</w:t>
      </w:r>
    </w:p>
    <w:p w14:paraId="6A839A2E">
      <w:pPr>
        <w:pStyle w:val="232"/>
        <w:numPr>
          <w:ilvl w:val="0"/>
          <w:numId w:val="33"/>
        </w:numPr>
        <w:ind w:firstLineChars="0"/>
      </w:pPr>
      <w:r>
        <w:rPr>
          <w:rFonts w:hint="eastAsia" w:ascii="宋体" w:hAnsi="宋体"/>
        </w:rPr>
        <w:t>《中国能源统计年鉴</w:t>
      </w:r>
      <w:r>
        <w:rPr>
          <w:rFonts w:hint="eastAsia"/>
        </w:rPr>
        <w:t>2023</w:t>
      </w:r>
      <w:r>
        <w:rPr>
          <w:rFonts w:hint="eastAsia" w:ascii="宋体" w:hAnsi="宋体"/>
        </w:rPr>
        <w:t>》（国家统计局能源统计司）</w:t>
      </w:r>
    </w:p>
    <w:p w14:paraId="55BEB9C4">
      <w:pPr>
        <w:pStyle w:val="232"/>
        <w:numPr>
          <w:ilvl w:val="0"/>
          <w:numId w:val="33"/>
        </w:numPr>
        <w:ind w:firstLineChars="0"/>
      </w:pPr>
      <w:r>
        <w:t>GB17167</w:t>
      </w:r>
      <w:r>
        <w:rPr>
          <w:rFonts w:hint="eastAsia" w:ascii="宋体" w:hAnsi="宋体"/>
        </w:rPr>
        <w:t>—</w:t>
      </w:r>
      <w:r>
        <w:rPr>
          <w:rFonts w:hint="eastAsia"/>
        </w:rPr>
        <w:t>2025</w:t>
      </w:r>
      <w:r>
        <w:rPr>
          <w:rFonts w:hint="eastAsia" w:ascii="宋体" w:hAnsi="宋体"/>
        </w:rPr>
        <w:t>用能单位能源计量器具配备和管理通则</w:t>
      </w:r>
    </w:p>
    <w:p w14:paraId="10E972FE">
      <w:pPr>
        <w:pStyle w:val="232"/>
        <w:numPr>
          <w:ilvl w:val="0"/>
          <w:numId w:val="33"/>
        </w:numPr>
        <w:ind w:firstLineChars="0"/>
      </w:pPr>
      <w:r>
        <w:rPr>
          <w:rFonts w:hint="eastAsia"/>
        </w:rPr>
        <w:t>GB/T 24040</w:t>
      </w:r>
      <w:r>
        <w:rPr>
          <w:rFonts w:hint="eastAsia" w:ascii="宋体" w:hAnsi="宋体"/>
        </w:rPr>
        <w:t>—</w:t>
      </w:r>
      <w:r>
        <w:rPr>
          <w:rFonts w:hint="eastAsia"/>
        </w:rPr>
        <w:t xml:space="preserve">2008 </w:t>
      </w:r>
      <w:r>
        <w:rPr>
          <w:rFonts w:hint="eastAsia" w:ascii="宋体" w:hAnsi="宋体"/>
        </w:rPr>
        <w:t>环境管理 生命周期评价 原则与框架</w:t>
      </w:r>
    </w:p>
    <w:p w14:paraId="66ED2521">
      <w:pPr>
        <w:pStyle w:val="232"/>
        <w:numPr>
          <w:ilvl w:val="0"/>
          <w:numId w:val="33"/>
        </w:numPr>
        <w:ind w:firstLineChars="0"/>
      </w:pPr>
      <w:r>
        <w:rPr>
          <w:rFonts w:hint="eastAsia"/>
        </w:rPr>
        <w:t>GB/T 24044</w:t>
      </w:r>
      <w:r>
        <w:rPr>
          <w:rFonts w:hint="eastAsia" w:ascii="宋体" w:hAnsi="宋体"/>
        </w:rPr>
        <w:t>—</w:t>
      </w:r>
      <w:r>
        <w:rPr>
          <w:rFonts w:hint="eastAsia"/>
        </w:rPr>
        <w:t xml:space="preserve">2008 </w:t>
      </w:r>
      <w:r>
        <w:rPr>
          <w:rFonts w:hint="eastAsia" w:ascii="宋体" w:hAnsi="宋体"/>
        </w:rPr>
        <w:t>环境管理 生命周期评价 要求与指南</w:t>
      </w:r>
    </w:p>
    <w:p w14:paraId="21C56C5D">
      <w:pPr>
        <w:pStyle w:val="56"/>
        <w:ind w:firstLine="420"/>
      </w:pPr>
    </w:p>
    <w:p w14:paraId="7EB723C0">
      <w:pPr>
        <w:pStyle w:val="56"/>
        <w:ind w:firstLine="420"/>
      </w:pPr>
    </w:p>
    <w:p w14:paraId="17CA6057">
      <w:pPr>
        <w:pStyle w:val="56"/>
        <w:ind w:firstLine="420"/>
      </w:pPr>
    </w:p>
    <w:p w14:paraId="4A204DAB">
      <w:pPr>
        <w:pStyle w:val="56"/>
        <w:ind w:firstLine="420"/>
      </w:pPr>
    </w:p>
    <w:bookmarkEnd w:id="104"/>
    <w:p w14:paraId="256437C4">
      <w:pPr>
        <w:pStyle w:val="56"/>
        <w:ind w:firstLine="0" w:firstLineChars="0"/>
        <w:jc w:val="center"/>
      </w:pPr>
      <w:bookmarkStart w:id="106" w:name="BookMark8"/>
      <w:r>
        <w:rPr>
          <w:rFonts w:hint="eastAsia"/>
        </w:rPr>
        <w:drawing>
          <wp:inline distT="0" distB="0" distL="0" distR="0">
            <wp:extent cx="1485900" cy="317500"/>
            <wp:effectExtent l="0" t="0" r="0" b="6350"/>
            <wp:docPr id="1708692763" name="图片 3"/>
            <wp:cNvGraphicFramePr/>
            <a:graphic xmlns:a="http://schemas.openxmlformats.org/drawingml/2006/main">
              <a:graphicData uri="http://schemas.openxmlformats.org/drawingml/2006/picture">
                <pic:pic xmlns:pic="http://schemas.openxmlformats.org/drawingml/2006/picture">
                  <pic:nvPicPr>
                    <pic:cNvPr id="1708692763" name="图片 3"/>
                    <pic:cNvPicPr/>
                  </pic:nvPicPr>
                  <pic:blipFill>
                    <a:blip r:embed="rId16">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06"/>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5B30A">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2EA16">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75B5F">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484FA">
    <w:pPr>
      <w:pStyle w:val="52"/>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B348F">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BBFA2">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C87AA">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433A6">
    <w:pPr>
      <w:pStyle w:val="61"/>
      <w:rPr>
        <w:rFonts w:hint="eastAsia"/>
      </w:rPr>
    </w:pPr>
    <w:r>
      <w:fldChar w:fldCharType="begin"/>
    </w:r>
    <w:r>
      <w:instrText xml:space="preserve"> STYLEREF  标准文件_文件编号  \* MERGEFORMAT </w:instrText>
    </w:r>
    <w:r>
      <w:fldChar w:fldCharType="separate"/>
    </w:r>
    <w:r>
      <w:t>T/DLAS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909EA">
    <w:pPr>
      <w:pStyle w:val="18"/>
      <w:jc w:val="right"/>
    </w:pPr>
    <w:r>
      <w:fldChar w:fldCharType="begin"/>
    </w:r>
    <w:r>
      <w:instrText xml:space="preserve"> STYLEREF  标准文件_文件编号  \* MERGEFORMAT </w:instrText>
    </w:r>
    <w:r>
      <w:fldChar w:fldCharType="separate"/>
    </w:r>
    <w:r>
      <w:t>T/DLAS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0B93B47"/>
    <w:multiLevelType w:val="multilevel"/>
    <w:tmpl w:val="40B93B47"/>
    <w:lvl w:ilvl="0" w:tentative="0">
      <w:start w:val="1"/>
      <w:numFmt w:val="japaneseCounting"/>
      <w:lvlText w:val="%1、"/>
      <w:lvlJc w:val="left"/>
      <w:pPr>
        <w:ind w:left="840" w:hanging="42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3">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4D31E36"/>
    <w:multiLevelType w:val="multilevel"/>
    <w:tmpl w:val="44D31E36"/>
    <w:lvl w:ilvl="0" w:tentative="0">
      <w:start w:val="1"/>
      <w:numFmt w:val="decimal"/>
      <w:lvlText w:val="[%1]"/>
      <w:lvlJc w:val="left"/>
      <w:pPr>
        <w:ind w:left="440" w:hanging="440"/>
      </w:pPr>
      <w:rPr>
        <w:rFonts w:hint="eastAsia" w:ascii="宋体" w:hAnsi="宋体" w:eastAsia="宋体"/>
      </w:rPr>
    </w:lvl>
    <w:lvl w:ilvl="1" w:tentative="0">
      <w:start w:val="1"/>
      <w:numFmt w:val="lowerLetter"/>
      <w:lvlText w:val="%2)"/>
      <w:lvlJc w:val="left"/>
      <w:pPr>
        <w:ind w:left="880" w:hanging="440"/>
      </w:pPr>
      <w:rPr>
        <w:rFonts w:hint="default" w:ascii="Times New Roman" w:hAnsi="Times New Roman" w:cs="Times New Roman"/>
      </w:rPr>
    </w:lvl>
    <w:lvl w:ilvl="2" w:tentative="0">
      <w:start w:val="1"/>
      <w:numFmt w:val="lowerRoman"/>
      <w:lvlText w:val="%3."/>
      <w:lvlJc w:val="right"/>
      <w:pPr>
        <w:ind w:left="1320" w:hanging="440"/>
      </w:pPr>
      <w:rPr>
        <w:rFonts w:hint="default" w:ascii="Times New Roman" w:hAnsi="Times New Roman" w:cs="Times New Roman"/>
      </w:rPr>
    </w:lvl>
    <w:lvl w:ilvl="3" w:tentative="0">
      <w:start w:val="1"/>
      <w:numFmt w:val="decimal"/>
      <w:lvlText w:val="%4."/>
      <w:lvlJc w:val="left"/>
      <w:pPr>
        <w:ind w:left="1760" w:hanging="440"/>
      </w:pPr>
      <w:rPr>
        <w:rFonts w:hint="default" w:ascii="Times New Roman" w:hAnsi="Times New Roman" w:cs="Times New Roman"/>
      </w:rPr>
    </w:lvl>
    <w:lvl w:ilvl="4" w:tentative="0">
      <w:start w:val="1"/>
      <w:numFmt w:val="lowerLetter"/>
      <w:lvlText w:val="%5)"/>
      <w:lvlJc w:val="left"/>
      <w:pPr>
        <w:ind w:left="2200" w:hanging="440"/>
      </w:pPr>
      <w:rPr>
        <w:rFonts w:hint="default" w:ascii="Times New Roman" w:hAnsi="Times New Roman" w:cs="Times New Roman"/>
      </w:rPr>
    </w:lvl>
    <w:lvl w:ilvl="5" w:tentative="0">
      <w:start w:val="1"/>
      <w:numFmt w:val="lowerRoman"/>
      <w:lvlText w:val="%6."/>
      <w:lvlJc w:val="right"/>
      <w:pPr>
        <w:ind w:left="2640" w:hanging="440"/>
      </w:pPr>
      <w:rPr>
        <w:rFonts w:hint="default" w:ascii="Times New Roman" w:hAnsi="Times New Roman" w:cs="Times New Roman"/>
      </w:rPr>
    </w:lvl>
    <w:lvl w:ilvl="6" w:tentative="0">
      <w:start w:val="1"/>
      <w:numFmt w:val="decimal"/>
      <w:lvlText w:val="%7."/>
      <w:lvlJc w:val="left"/>
      <w:pPr>
        <w:ind w:left="3080" w:hanging="440"/>
      </w:pPr>
      <w:rPr>
        <w:rFonts w:hint="default" w:ascii="Times New Roman" w:hAnsi="Times New Roman" w:cs="Times New Roman"/>
      </w:rPr>
    </w:lvl>
    <w:lvl w:ilvl="7" w:tentative="0">
      <w:start w:val="1"/>
      <w:numFmt w:val="lowerLetter"/>
      <w:lvlText w:val="%8)"/>
      <w:lvlJc w:val="left"/>
      <w:pPr>
        <w:ind w:left="3520" w:hanging="440"/>
      </w:pPr>
      <w:rPr>
        <w:rFonts w:hint="default" w:ascii="Times New Roman" w:hAnsi="Times New Roman" w:cs="Times New Roman"/>
      </w:rPr>
    </w:lvl>
    <w:lvl w:ilvl="8" w:tentative="0">
      <w:start w:val="1"/>
      <w:numFmt w:val="lowerRoman"/>
      <w:lvlText w:val="%9."/>
      <w:lvlJc w:val="right"/>
      <w:pPr>
        <w:ind w:left="3960" w:hanging="440"/>
      </w:pPr>
      <w:rPr>
        <w:rFonts w:hint="default" w:ascii="Times New Roman" w:hAnsi="Times New Roman" w:cs="Times New Roman"/>
      </w:rPr>
    </w:lvl>
  </w:abstractNum>
  <w:abstractNum w:abstractNumId="15">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4">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9"/>
  </w:num>
  <w:num w:numId="3">
    <w:abstractNumId w:val="5"/>
  </w:num>
  <w:num w:numId="4">
    <w:abstractNumId w:val="25"/>
  </w:num>
  <w:num w:numId="5">
    <w:abstractNumId w:val="20"/>
  </w:num>
  <w:num w:numId="6">
    <w:abstractNumId w:val="15"/>
  </w:num>
  <w:num w:numId="7">
    <w:abstractNumId w:val="8"/>
  </w:num>
  <w:num w:numId="8">
    <w:abstractNumId w:val="3"/>
  </w:num>
  <w:num w:numId="9">
    <w:abstractNumId w:val="9"/>
  </w:num>
  <w:num w:numId="10">
    <w:abstractNumId w:val="18"/>
  </w:num>
  <w:num w:numId="11">
    <w:abstractNumId w:val="27"/>
  </w:num>
  <w:num w:numId="12">
    <w:abstractNumId w:val="11"/>
  </w:num>
  <w:num w:numId="13">
    <w:abstractNumId w:val="13"/>
  </w:num>
  <w:num w:numId="14">
    <w:abstractNumId w:val="7"/>
  </w:num>
  <w:num w:numId="15">
    <w:abstractNumId w:val="21"/>
  </w:num>
  <w:num w:numId="16">
    <w:abstractNumId w:val="23"/>
  </w:num>
  <w:num w:numId="17">
    <w:abstractNumId w:val="19"/>
  </w:num>
  <w:num w:numId="18">
    <w:abstractNumId w:val="31"/>
  </w:num>
  <w:num w:numId="19">
    <w:abstractNumId w:val="17"/>
  </w:num>
  <w:num w:numId="20">
    <w:abstractNumId w:val="1"/>
  </w:num>
  <w:num w:numId="21">
    <w:abstractNumId w:val="10"/>
  </w:num>
  <w:num w:numId="22">
    <w:abstractNumId w:val="32"/>
  </w:num>
  <w:num w:numId="23">
    <w:abstractNumId w:val="22"/>
  </w:num>
  <w:num w:numId="24">
    <w:abstractNumId w:val="6"/>
  </w:num>
  <w:num w:numId="25">
    <w:abstractNumId w:val="28"/>
  </w:num>
  <w:num w:numId="26">
    <w:abstractNumId w:val="30"/>
  </w:num>
  <w:num w:numId="27">
    <w:abstractNumId w:val="2"/>
  </w:num>
  <w:num w:numId="28">
    <w:abstractNumId w:val="4"/>
  </w:num>
  <w:num w:numId="29">
    <w:abstractNumId w:val="16"/>
  </w:num>
  <w:num w:numId="30">
    <w:abstractNumId w:val="26"/>
  </w:num>
  <w:num w:numId="31">
    <w:abstractNumId w:val="24"/>
  </w:num>
  <w:num w:numId="32">
    <w:abstractNumId w:val="12"/>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1"/>
  <w:bordersDoNotSurroundFooter w:val="1"/>
  <w:attachedTemplate r:id="rId1"/>
  <w:documentProtection w:edit="forms" w:enforcement="1" w:cryptProviderType="rsaAES" w:cryptAlgorithmClass="hash" w:cryptAlgorithmType="typeAny" w:cryptAlgorithmSid="14" w:cryptSpinCount="100000" w:hash="luiWKbSisw+JxllRaVwir8126xR2/ojqQSnhhmoBowhgLXQXliohC+nP1GNljaMC4U+nkpCTy3oPyxKRfNcUyg==" w:salt="CUa54Djkqh4A2X4uSEKSzA=="/>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330"/>
    <w:rsid w:val="0000040A"/>
    <w:rsid w:val="00000A94"/>
    <w:rsid w:val="00001972"/>
    <w:rsid w:val="00001D9A"/>
    <w:rsid w:val="00002D44"/>
    <w:rsid w:val="00007B3A"/>
    <w:rsid w:val="0001008E"/>
    <w:rsid w:val="000107E0"/>
    <w:rsid w:val="00011FDE"/>
    <w:rsid w:val="00012FFD"/>
    <w:rsid w:val="00014162"/>
    <w:rsid w:val="00014340"/>
    <w:rsid w:val="00016A9C"/>
    <w:rsid w:val="000210A9"/>
    <w:rsid w:val="00022184"/>
    <w:rsid w:val="00022762"/>
    <w:rsid w:val="000238E0"/>
    <w:rsid w:val="000249DB"/>
    <w:rsid w:val="0002595E"/>
    <w:rsid w:val="000303C3"/>
    <w:rsid w:val="0003095F"/>
    <w:rsid w:val="000331D3"/>
    <w:rsid w:val="000346A5"/>
    <w:rsid w:val="0003489D"/>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29"/>
    <w:rsid w:val="000C4B41"/>
    <w:rsid w:val="000C57D6"/>
    <w:rsid w:val="000C6362"/>
    <w:rsid w:val="000C7666"/>
    <w:rsid w:val="000D05B8"/>
    <w:rsid w:val="000D0A9C"/>
    <w:rsid w:val="000D1795"/>
    <w:rsid w:val="000D329A"/>
    <w:rsid w:val="000D4B9C"/>
    <w:rsid w:val="000D4EB6"/>
    <w:rsid w:val="000D753B"/>
    <w:rsid w:val="000E4C9E"/>
    <w:rsid w:val="000E5D5C"/>
    <w:rsid w:val="000E6FD7"/>
    <w:rsid w:val="000E7144"/>
    <w:rsid w:val="000F06E1"/>
    <w:rsid w:val="000F0E3C"/>
    <w:rsid w:val="000F19D5"/>
    <w:rsid w:val="000F4050"/>
    <w:rsid w:val="000F4AEA"/>
    <w:rsid w:val="000F67E9"/>
    <w:rsid w:val="00104926"/>
    <w:rsid w:val="00113B1E"/>
    <w:rsid w:val="0011711C"/>
    <w:rsid w:val="001177B3"/>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005D"/>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3ED3"/>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115A"/>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C54"/>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55A"/>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19F"/>
    <w:rsid w:val="003E091D"/>
    <w:rsid w:val="003E1C53"/>
    <w:rsid w:val="003E2A69"/>
    <w:rsid w:val="003E2D49"/>
    <w:rsid w:val="003E2F95"/>
    <w:rsid w:val="003E2FD4"/>
    <w:rsid w:val="003E49F6"/>
    <w:rsid w:val="003E660F"/>
    <w:rsid w:val="003F0841"/>
    <w:rsid w:val="003F23D3"/>
    <w:rsid w:val="003F33F5"/>
    <w:rsid w:val="003F3F08"/>
    <w:rsid w:val="003F49F1"/>
    <w:rsid w:val="003F6272"/>
    <w:rsid w:val="00400E72"/>
    <w:rsid w:val="00401400"/>
    <w:rsid w:val="00404869"/>
    <w:rsid w:val="00405884"/>
    <w:rsid w:val="00407D39"/>
    <w:rsid w:val="0041477A"/>
    <w:rsid w:val="004167A3"/>
    <w:rsid w:val="00432DAA"/>
    <w:rsid w:val="00434305"/>
    <w:rsid w:val="00435DF7"/>
    <w:rsid w:val="0043741A"/>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4A5D"/>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ECF"/>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0200"/>
    <w:rsid w:val="006918EE"/>
    <w:rsid w:val="00693962"/>
    <w:rsid w:val="006A07AA"/>
    <w:rsid w:val="006A25E5"/>
    <w:rsid w:val="006A2B46"/>
    <w:rsid w:val="006A336D"/>
    <w:rsid w:val="006A37B9"/>
    <w:rsid w:val="006A3D27"/>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28E0"/>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05D"/>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5D0"/>
    <w:rsid w:val="008D2D1D"/>
    <w:rsid w:val="008D453D"/>
    <w:rsid w:val="008D53AD"/>
    <w:rsid w:val="008D562B"/>
    <w:rsid w:val="008D5733"/>
    <w:rsid w:val="008D622B"/>
    <w:rsid w:val="008D666C"/>
    <w:rsid w:val="008D7570"/>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0845"/>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5609D"/>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82F"/>
    <w:rsid w:val="00A44E69"/>
    <w:rsid w:val="00A4661E"/>
    <w:rsid w:val="00A55BD6"/>
    <w:rsid w:val="00A55D50"/>
    <w:rsid w:val="00A55F1E"/>
    <w:rsid w:val="00A56F9C"/>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1A43"/>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20EA"/>
    <w:rsid w:val="00B33952"/>
    <w:rsid w:val="00B33C5E"/>
    <w:rsid w:val="00B342F4"/>
    <w:rsid w:val="00B34369"/>
    <w:rsid w:val="00B34DC2"/>
    <w:rsid w:val="00B378E5"/>
    <w:rsid w:val="00B4346D"/>
    <w:rsid w:val="00B440F4"/>
    <w:rsid w:val="00B447A5"/>
    <w:rsid w:val="00B457AC"/>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6980"/>
    <w:rsid w:val="00B77EC8"/>
    <w:rsid w:val="00B827A6"/>
    <w:rsid w:val="00B831CE"/>
    <w:rsid w:val="00B84B7A"/>
    <w:rsid w:val="00B86677"/>
    <w:rsid w:val="00B87131"/>
    <w:rsid w:val="00B939B1"/>
    <w:rsid w:val="00B96D40"/>
    <w:rsid w:val="00B97386"/>
    <w:rsid w:val="00BA263B"/>
    <w:rsid w:val="00BA42B2"/>
    <w:rsid w:val="00BA58D4"/>
    <w:rsid w:val="00BA5B9E"/>
    <w:rsid w:val="00BA7C9A"/>
    <w:rsid w:val="00BB1D6C"/>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7B9"/>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286E"/>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1F87"/>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5624"/>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97330"/>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D75C2"/>
    <w:rsid w:val="00EE0350"/>
    <w:rsid w:val="00EE0719"/>
    <w:rsid w:val="00EE0E80"/>
    <w:rsid w:val="00EE613F"/>
    <w:rsid w:val="00EE7295"/>
    <w:rsid w:val="00EE7869"/>
    <w:rsid w:val="00EF054A"/>
    <w:rsid w:val="00EF3235"/>
    <w:rsid w:val="00EF7076"/>
    <w:rsid w:val="00EF7E72"/>
    <w:rsid w:val="00F003B3"/>
    <w:rsid w:val="00F06D37"/>
    <w:rsid w:val="00F07B9D"/>
    <w:rsid w:val="00F11586"/>
    <w:rsid w:val="00F1183B"/>
    <w:rsid w:val="00F11C9F"/>
    <w:rsid w:val="00F12263"/>
    <w:rsid w:val="00F1409D"/>
    <w:rsid w:val="00F14214"/>
    <w:rsid w:val="00F157A9"/>
    <w:rsid w:val="00F16F00"/>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237B11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0" w:name="toc 8"/>
    <w:lsdException w:uiPriority="0" w:name="toc 9"/>
    <w:lsdException w:unhideWhenUsed="0" w:uiPriority="0" w:semiHidden="0" w:name="Normal Indent"/>
    <w:lsdException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nhideWhenUsed="0" w:uiPriority="0" w:name="table of figures"/>
    <w:lsdException w:uiPriority="99" w:name="envelope address"/>
    <w:lsdException w:uiPriority="99" w:name="envelope return"/>
    <w:lsdException w:unhideWhenUsed="0" w:uiPriority="0"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uiPriority w:val="39"/>
    <w:pPr>
      <w:tabs>
        <w:tab w:val="right" w:leader="dot" w:pos="9344"/>
      </w:tabs>
      <w:spacing w:line="300" w:lineRule="exact"/>
      <w:ind w:left="1259"/>
    </w:pPr>
    <w:rPr>
      <w:rFonts w:ascii="宋体"/>
    </w:rPr>
  </w:style>
  <w:style w:type="paragraph" w:styleId="12">
    <w:name w:val="Normal Indent"/>
    <w:basedOn w:val="1"/>
    <w:uiPriority w:val="0"/>
    <w:pPr>
      <w:ind w:firstLine="420"/>
    </w:pPr>
  </w:style>
  <w:style w:type="paragraph" w:styleId="13">
    <w:name w:val="Body Text"/>
    <w:basedOn w:val="1"/>
    <w:link w:val="86"/>
    <w:uiPriority w:val="0"/>
    <w:pPr>
      <w:spacing w:after="120"/>
    </w:pPr>
  </w:style>
  <w:style w:type="paragraph" w:styleId="14">
    <w:name w:val="toc 5"/>
    <w:basedOn w:val="1"/>
    <w:next w:val="1"/>
    <w:autoRedefine/>
    <w:unhideWhenUsed/>
    <w:uiPriority w:val="39"/>
    <w:pPr>
      <w:ind w:left="839"/>
    </w:pPr>
    <w:rPr>
      <w:rFonts w:ascii="宋体"/>
    </w:rPr>
  </w:style>
  <w:style w:type="paragraph" w:styleId="15">
    <w:name w:val="toc 3"/>
    <w:basedOn w:val="1"/>
    <w:next w:val="1"/>
    <w:autoRedefine/>
    <w:unhideWhenUsed/>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uiPriority w:val="39"/>
    <w:rPr>
      <w:rFonts w:ascii="宋体"/>
    </w:rPr>
  </w:style>
  <w:style w:type="paragraph" w:styleId="20">
    <w:name w:val="toc 4"/>
    <w:basedOn w:val="1"/>
    <w:next w:val="1"/>
    <w:autoRedefine/>
    <w:unhideWhenUsed/>
    <w:uiPriority w:val="39"/>
    <w:pPr>
      <w:tabs>
        <w:tab w:val="right" w:leader="dot" w:pos="9344"/>
      </w:tabs>
      <w:spacing w:line="300" w:lineRule="exact"/>
      <w:ind w:left="629"/>
    </w:pPr>
    <w:rPr>
      <w:rFonts w:ascii="宋体"/>
    </w:rPr>
  </w:style>
  <w:style w:type="paragraph" w:styleId="21">
    <w:name w:val="footnote text"/>
    <w:basedOn w:val="1"/>
    <w:next w:val="1"/>
    <w:link w:val="99"/>
    <w:semiHidden/>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uiPriority w:val="39"/>
    <w:pPr>
      <w:spacing w:line="300" w:lineRule="exact"/>
      <w:ind w:left="1049"/>
    </w:pPr>
    <w:rPr>
      <w:rFonts w:ascii="宋体"/>
    </w:rPr>
  </w:style>
  <w:style w:type="paragraph" w:styleId="23">
    <w:name w:val="table of figures"/>
    <w:basedOn w:val="1"/>
    <w:next w:val="1"/>
    <w:semiHidden/>
    <w:uiPriority w:val="0"/>
    <w:pPr>
      <w:adjustRightInd/>
      <w:spacing w:line="240" w:lineRule="auto"/>
      <w:jc w:val="left"/>
    </w:pPr>
    <w:rPr>
      <w:szCs w:val="24"/>
    </w:rPr>
  </w:style>
  <w:style w:type="paragraph" w:styleId="24">
    <w:name w:val="toc 2"/>
    <w:basedOn w:val="1"/>
    <w:next w:val="1"/>
    <w:autoRedefine/>
    <w:unhideWhenUsed/>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uiPriority w:val="0"/>
    <w:rPr>
      <w:rFonts w:ascii="宋体" w:hAnsi="Times New Roman" w:eastAsia="宋体"/>
      <w:sz w:val="18"/>
    </w:rPr>
  </w:style>
  <w:style w:type="character" w:styleId="31">
    <w:name w:val="Emphasis"/>
    <w:qFormat/>
    <w:uiPriority w:val="20"/>
    <w:rPr>
      <w:i/>
      <w:iCs/>
    </w:rPr>
  </w:style>
  <w:style w:type="character" w:styleId="32">
    <w:name w:val="Hyperlink"/>
    <w:uiPriority w:val="99"/>
    <w:rPr>
      <w:rFonts w:ascii="宋体" w:hAnsi="Times New Roman" w:eastAsia="宋体"/>
      <w:color w:val="auto"/>
      <w:spacing w:val="0"/>
      <w:w w:val="100"/>
      <w:position w:val="0"/>
      <w:sz w:val="21"/>
      <w:u w:val="none"/>
      <w:vertAlign w:val="baseline"/>
    </w:rPr>
  </w:style>
  <w:style w:type="character" w:styleId="33">
    <w:name w:val="footnote reference"/>
    <w:semiHidden/>
    <w:uiPriority w:val="0"/>
    <w:rPr>
      <w:rFonts w:ascii="宋体" w:hAnsi="宋体" w:eastAsia="宋体" w:cs="Times New Roman"/>
      <w:spacing w:val="0"/>
      <w:sz w:val="18"/>
      <w:vertAlign w:val="superscript"/>
    </w:rPr>
  </w:style>
  <w:style w:type="character" w:customStyle="1" w:styleId="34">
    <w:name w:val="标题 1 字符"/>
    <w:link w:val="2"/>
    <w:qFormat/>
    <w:uiPriority w:val="0"/>
    <w:rPr>
      <w:b/>
      <w:bCs/>
      <w:kern w:val="44"/>
      <w:sz w:val="44"/>
      <w:szCs w:val="44"/>
    </w:rPr>
  </w:style>
  <w:style w:type="character" w:customStyle="1" w:styleId="35">
    <w:name w:val="标题 2 字符"/>
    <w:link w:val="3"/>
    <w:qFormat/>
    <w:uiPriority w:val="0"/>
    <w:rPr>
      <w:rFonts w:ascii="Arial" w:hAnsi="Arial" w:eastAsia="黑体"/>
      <w:b/>
      <w:bCs/>
      <w:kern w:val="2"/>
      <w:sz w:val="32"/>
      <w:szCs w:val="32"/>
    </w:rPr>
  </w:style>
  <w:style w:type="character" w:customStyle="1" w:styleId="36">
    <w:name w:val="标题 3 字符"/>
    <w:link w:val="4"/>
    <w:qFormat/>
    <w:uiPriority w:val="0"/>
    <w:rPr>
      <w:b/>
      <w:bCs/>
      <w:kern w:val="2"/>
      <w:sz w:val="32"/>
      <w:szCs w:val="32"/>
    </w:rPr>
  </w:style>
  <w:style w:type="character" w:customStyle="1" w:styleId="37">
    <w:name w:val="标题 4 字符"/>
    <w:link w:val="5"/>
    <w:qFormat/>
    <w:uiPriority w:val="0"/>
    <w:rPr>
      <w:rFonts w:ascii="Arial" w:hAnsi="Arial" w:eastAsia="黑体"/>
      <w:b/>
      <w:bCs/>
      <w:kern w:val="2"/>
      <w:sz w:val="28"/>
      <w:szCs w:val="28"/>
    </w:rPr>
  </w:style>
  <w:style w:type="character" w:customStyle="1" w:styleId="38">
    <w:name w:val="标题 5 字符"/>
    <w:link w:val="6"/>
    <w:qFormat/>
    <w:uiPriority w:val="0"/>
    <w:rPr>
      <w:b/>
      <w:bCs/>
      <w:kern w:val="2"/>
      <w:sz w:val="28"/>
      <w:szCs w:val="28"/>
    </w:rPr>
  </w:style>
  <w:style w:type="character" w:customStyle="1" w:styleId="39">
    <w:name w:val="标题 6 字符"/>
    <w:link w:val="7"/>
    <w:qFormat/>
    <w:uiPriority w:val="0"/>
    <w:rPr>
      <w:rFonts w:ascii="Arial" w:hAnsi="Arial" w:eastAsia="黑体"/>
      <w:b/>
      <w:bCs/>
      <w:kern w:val="2"/>
      <w:sz w:val="24"/>
      <w:szCs w:val="24"/>
    </w:rPr>
  </w:style>
  <w:style w:type="character" w:customStyle="1" w:styleId="40">
    <w:name w:val="标题 7 字符"/>
    <w:link w:val="8"/>
    <w:qFormat/>
    <w:uiPriority w:val="0"/>
    <w:rPr>
      <w:b/>
      <w:bCs/>
      <w:kern w:val="2"/>
      <w:sz w:val="24"/>
      <w:szCs w:val="24"/>
    </w:rPr>
  </w:style>
  <w:style w:type="character" w:customStyle="1" w:styleId="41">
    <w:name w:val="标题 8 字符"/>
    <w:link w:val="9"/>
    <w:qFormat/>
    <w:uiPriority w:val="0"/>
    <w:rPr>
      <w:rFonts w:ascii="Arial" w:hAnsi="Arial" w:eastAsia="黑体"/>
      <w:kern w:val="2"/>
      <w:sz w:val="24"/>
      <w:szCs w:val="24"/>
    </w:rPr>
  </w:style>
  <w:style w:type="character" w:customStyle="1" w:styleId="42">
    <w:name w:val="标题 9 字符"/>
    <w:link w:val="10"/>
    <w:qFormat/>
    <w:uiPriority w:val="0"/>
    <w:rPr>
      <w:rFonts w:ascii="Arial" w:hAnsi="Arial" w:eastAsia="黑体"/>
      <w:kern w:val="2"/>
      <w:sz w:val="21"/>
      <w:szCs w:val="21"/>
    </w:rPr>
  </w:style>
  <w:style w:type="character" w:customStyle="1" w:styleId="43">
    <w:name w:val="页眉 字符"/>
    <w:link w:val="18"/>
    <w:qFormat/>
    <w:uiPriority w:val="99"/>
    <w:rPr>
      <w:kern w:val="2"/>
      <w:sz w:val="18"/>
      <w:szCs w:val="18"/>
    </w:rPr>
  </w:style>
  <w:style w:type="character" w:customStyle="1" w:styleId="44">
    <w:name w:val="页脚 字符"/>
    <w:link w:val="17"/>
    <w:qFormat/>
    <w:uiPriority w:val="99"/>
    <w:rPr>
      <w:rFonts w:ascii="宋体"/>
      <w:kern w:val="2"/>
      <w:sz w:val="18"/>
      <w:szCs w:val="18"/>
    </w:rPr>
  </w:style>
  <w:style w:type="character" w:customStyle="1" w:styleId="45">
    <w:name w:val="批注框文本 字符"/>
    <w:link w:val="16"/>
    <w:semiHidden/>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uiPriority w:val="29"/>
    <w:rPr>
      <w:i/>
      <w:iCs/>
      <w:color w:val="000000"/>
      <w:kern w:val="2"/>
      <w:sz w:val="21"/>
      <w:szCs w:val="21"/>
    </w:rPr>
  </w:style>
  <w:style w:type="character" w:customStyle="1" w:styleId="48">
    <w:name w:val="标题 字符"/>
    <w:link w:val="25"/>
    <w:uiPriority w:val="0"/>
    <w:rPr>
      <w:rFonts w:ascii="Arial" w:hAnsi="Arial" w:cs="Arial"/>
      <w:b/>
      <w:bCs/>
      <w:kern w:val="2"/>
      <w:sz w:val="32"/>
      <w:szCs w:val="32"/>
    </w:rPr>
  </w:style>
  <w:style w:type="paragraph" w:customStyle="1" w:styleId="49">
    <w:name w:val="标准标志"/>
    <w:next w:val="1"/>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uiPriority w:val="0"/>
    <w:pPr>
      <w:ind w:left="198"/>
    </w:pPr>
    <w:rPr>
      <w:rFonts w:ascii="宋体" w:hAnsi="Times New Roman" w:eastAsia="宋体" w:cs="Times New Roman"/>
      <w:sz w:val="18"/>
      <w:lang w:val="en-US" w:eastAsia="zh-CN" w:bidi="ar-SA"/>
    </w:rPr>
  </w:style>
  <w:style w:type="paragraph" w:customStyle="1" w:styleId="52">
    <w:name w:val="标准文件_页脚奇数页"/>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uiPriority w:val="0"/>
    <w:pPr>
      <w:snapToGrid w:val="0"/>
      <w:ind w:firstLine="200" w:firstLineChars="200"/>
    </w:pPr>
    <w:rPr>
      <w:kern w:val="0"/>
    </w:rPr>
  </w:style>
  <w:style w:type="paragraph" w:customStyle="1" w:styleId="56">
    <w:name w:val="标准文件_段"/>
    <w:link w:val="184"/>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57">
    <w:name w:val="标准文件_版本"/>
    <w:basedOn w:val="55"/>
    <w:uiPriority w:val="0"/>
    <w:pPr>
      <w:adjustRightInd/>
      <w:snapToGrid/>
      <w:ind w:firstLine="0" w:firstLineChars="0"/>
    </w:pPr>
    <w:rPr>
      <w:rFonts w:ascii="宋体" w:hAnsi="宋体"/>
      <w:kern w:val="2"/>
    </w:rPr>
  </w:style>
  <w:style w:type="paragraph" w:customStyle="1" w:styleId="58">
    <w:name w:val="标准文件_标准部门"/>
    <w:basedOn w:val="1"/>
    <w:uiPriority w:val="0"/>
    <w:pPr>
      <w:jc w:val="center"/>
    </w:pPr>
    <w:rPr>
      <w:rFonts w:ascii="黑体" w:eastAsia="黑体"/>
      <w:kern w:val="0"/>
      <w:sz w:val="44"/>
    </w:rPr>
  </w:style>
  <w:style w:type="paragraph" w:customStyle="1" w:styleId="59">
    <w:name w:val="标准文件_标准代替"/>
    <w:basedOn w:val="1"/>
    <w:next w:val="1"/>
    <w:uiPriority w:val="0"/>
    <w:pPr>
      <w:spacing w:line="310" w:lineRule="exact"/>
      <w:jc w:val="right"/>
    </w:pPr>
    <w:rPr>
      <w:rFonts w:ascii="宋体" w:hAnsi="宋体"/>
      <w:kern w:val="0"/>
    </w:rPr>
  </w:style>
  <w:style w:type="paragraph" w:customStyle="1" w:styleId="60">
    <w:name w:val="标准文件_标准名称标题"/>
    <w:basedOn w:val="1"/>
    <w:next w:val="1"/>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4">
    <w:name w:val="标准文件_参考文献条目"/>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uiPriority w:val="0"/>
    <w:rPr>
      <w:rFonts w:ascii="黑体" w:eastAsia="黑体"/>
      <w:spacing w:val="0"/>
      <w:w w:val="100"/>
      <w:position w:val="3"/>
      <w:sz w:val="28"/>
    </w:rPr>
  </w:style>
  <w:style w:type="paragraph" w:customStyle="1" w:styleId="67">
    <w:name w:val="标准文件_方框数字列项"/>
    <w:basedOn w:val="56"/>
    <w:uiPriority w:val="0"/>
    <w:pPr>
      <w:numPr>
        <w:ilvl w:val="0"/>
        <w:numId w:val="3"/>
      </w:numPr>
      <w:ind w:firstLine="0" w:firstLineChars="0"/>
    </w:pPr>
  </w:style>
  <w:style w:type="paragraph" w:customStyle="1" w:styleId="68">
    <w:name w:val="标准文件_封面标准编号"/>
    <w:basedOn w:val="1"/>
    <w:next w:val="59"/>
    <w:uiPriority w:val="0"/>
    <w:pPr>
      <w:spacing w:line="310" w:lineRule="exact"/>
      <w:jc w:val="right"/>
    </w:pPr>
    <w:rPr>
      <w:rFonts w:ascii="黑体" w:eastAsia="黑体"/>
      <w:kern w:val="0"/>
      <w:sz w:val="28"/>
    </w:rPr>
  </w:style>
  <w:style w:type="paragraph" w:customStyle="1" w:styleId="69">
    <w:name w:val="标准文件_封面标准分类号"/>
    <w:basedOn w:val="1"/>
    <w:uiPriority w:val="0"/>
    <w:rPr>
      <w:rFonts w:ascii="黑体" w:eastAsia="黑体"/>
      <w:b/>
      <w:kern w:val="0"/>
      <w:sz w:val="28"/>
    </w:rPr>
  </w:style>
  <w:style w:type="paragraph" w:customStyle="1" w:styleId="70">
    <w:name w:val="标准文件_封面标准名称"/>
    <w:basedOn w:val="1"/>
    <w:uiPriority w:val="0"/>
    <w:pPr>
      <w:spacing w:line="240" w:lineRule="auto"/>
      <w:jc w:val="center"/>
    </w:pPr>
    <w:rPr>
      <w:rFonts w:ascii="黑体" w:eastAsia="黑体"/>
      <w:kern w:val="0"/>
      <w:sz w:val="52"/>
    </w:rPr>
  </w:style>
  <w:style w:type="paragraph" w:customStyle="1" w:styleId="71">
    <w:name w:val="标准文件_封面标准英文名称"/>
    <w:basedOn w:val="1"/>
    <w:uiPriority w:val="0"/>
    <w:pPr>
      <w:spacing w:line="240" w:lineRule="auto"/>
      <w:jc w:val="center"/>
    </w:pPr>
    <w:rPr>
      <w:rFonts w:ascii="黑体" w:eastAsia="黑体"/>
      <w:b/>
      <w:sz w:val="28"/>
    </w:rPr>
  </w:style>
  <w:style w:type="paragraph" w:customStyle="1" w:styleId="72">
    <w:name w:val="标准文件_封面发布日期"/>
    <w:basedOn w:val="1"/>
    <w:uiPriority w:val="0"/>
    <w:pPr>
      <w:spacing w:line="310" w:lineRule="exact"/>
    </w:pPr>
    <w:rPr>
      <w:rFonts w:ascii="黑体" w:eastAsia="黑体"/>
      <w:kern w:val="0"/>
      <w:sz w:val="28"/>
    </w:rPr>
  </w:style>
  <w:style w:type="paragraph" w:customStyle="1" w:styleId="73">
    <w:name w:val="标准文件_封面密级"/>
    <w:basedOn w:val="1"/>
    <w:uiPriority w:val="0"/>
    <w:rPr>
      <w:rFonts w:eastAsia="黑体"/>
      <w:sz w:val="32"/>
    </w:rPr>
  </w:style>
  <w:style w:type="paragraph" w:customStyle="1" w:styleId="74">
    <w:name w:val="标准文件_封面实施日期"/>
    <w:basedOn w:val="1"/>
    <w:uiPriority w:val="0"/>
    <w:pPr>
      <w:spacing w:line="310" w:lineRule="exact"/>
      <w:jc w:val="right"/>
    </w:pPr>
    <w:rPr>
      <w:rFonts w:ascii="黑体" w:eastAsia="黑体"/>
      <w:sz w:val="28"/>
    </w:rPr>
  </w:style>
  <w:style w:type="paragraph" w:customStyle="1" w:styleId="75">
    <w:name w:val="标准文件_封面抬头"/>
    <w:basedOn w:val="56"/>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uiPriority w:val="0"/>
    <w:rPr>
      <w:kern w:val="2"/>
      <w:sz w:val="21"/>
      <w:szCs w:val="21"/>
    </w:rPr>
  </w:style>
  <w:style w:type="paragraph" w:customStyle="1" w:styleId="87">
    <w:name w:val="标准文件_附录章标题"/>
    <w:next w:val="56"/>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uiPriority w:val="0"/>
    <w:pPr>
      <w:ind w:left="488" w:leftChars="200" w:hanging="289" w:hangingChars="290"/>
    </w:pPr>
  </w:style>
  <w:style w:type="paragraph" w:customStyle="1" w:styleId="89">
    <w:name w:val="标准文件_前言、引言标题"/>
    <w:next w:val="1"/>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uiPriority w:val="0"/>
    <w:pPr>
      <w:spacing w:line="460" w:lineRule="exact"/>
      <w:ind w:left="0" w:firstLine="0"/>
    </w:pPr>
  </w:style>
  <w:style w:type="paragraph" w:customStyle="1" w:styleId="91">
    <w:name w:val="标准文件_目录标题"/>
    <w:basedOn w:val="1"/>
    <w:uiPriority w:val="0"/>
    <w:pPr>
      <w:spacing w:before="480" w:after="150" w:afterLines="150" w:line="240" w:lineRule="auto"/>
      <w:jc w:val="center"/>
    </w:pPr>
    <w:rPr>
      <w:rFonts w:ascii="黑体" w:eastAsia="黑体"/>
      <w:sz w:val="32"/>
    </w:rPr>
  </w:style>
  <w:style w:type="paragraph" w:customStyle="1" w:styleId="92">
    <w:name w:val="标准文件_破折号列项"/>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uiPriority w:val="0"/>
    <w:pPr>
      <w:numPr>
        <w:numId w:val="10"/>
      </w:numPr>
    </w:pPr>
  </w:style>
  <w:style w:type="paragraph" w:customStyle="1" w:styleId="94">
    <w:name w:val="标准文件_三级条标题"/>
    <w:basedOn w:val="65"/>
    <w:next w:val="56"/>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uiPriority w:val="0"/>
    <w:pPr>
      <w:adjustRightInd/>
      <w:spacing w:line="240" w:lineRule="auto"/>
      <w:ind w:firstLine="200" w:firstLineChars="200"/>
    </w:pPr>
    <w:rPr>
      <w:sz w:val="18"/>
      <w:szCs w:val="24"/>
    </w:rPr>
  </w:style>
  <w:style w:type="paragraph" w:customStyle="1" w:styleId="97">
    <w:name w:val="标准文件_数字编号列项"/>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uiPriority w:val="0"/>
    <w:rPr>
      <w:rFonts w:ascii="宋体"/>
      <w:kern w:val="2"/>
      <w:sz w:val="18"/>
      <w:szCs w:val="18"/>
    </w:rPr>
  </w:style>
  <w:style w:type="paragraph" w:customStyle="1" w:styleId="100">
    <w:name w:val="标准文件_条文脚注"/>
    <w:basedOn w:val="21"/>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uiPriority w:val="0"/>
    <w:pPr>
      <w:numPr>
        <w:ilvl w:val="0"/>
        <w:numId w:val="12"/>
      </w:numPr>
      <w:spacing w:line="240" w:lineRule="auto"/>
      <w:jc w:val="left"/>
    </w:pPr>
    <w:rPr>
      <w:rFonts w:ascii="宋体" w:hAnsi="宋体"/>
      <w:sz w:val="18"/>
    </w:rPr>
  </w:style>
  <w:style w:type="character" w:customStyle="1" w:styleId="102">
    <w:name w:val="标准文件_图表脚注内容"/>
    <w:uiPriority w:val="0"/>
    <w:rPr>
      <w:rFonts w:ascii="宋体" w:hAnsi="宋体" w:eastAsia="宋体" w:cs="Times New Roman"/>
      <w:spacing w:val="0"/>
      <w:sz w:val="18"/>
      <w:vertAlign w:val="superscript"/>
    </w:rPr>
  </w:style>
  <w:style w:type="paragraph" w:customStyle="1" w:styleId="103">
    <w:name w:val="标准文件_五级条标题"/>
    <w:next w:val="56"/>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uiPriority w:val="0"/>
    <w:pPr>
      <w:numPr>
        <w:ilvl w:val="2"/>
      </w:numPr>
      <w:spacing w:before="50" w:beforeLines="50" w:after="50" w:afterLines="50"/>
      <w:outlineLvl w:val="1"/>
    </w:pPr>
  </w:style>
  <w:style w:type="paragraph" w:customStyle="1" w:styleId="106">
    <w:name w:val="标准文件_一致程度"/>
    <w:basedOn w:val="1"/>
    <w:uiPriority w:val="0"/>
    <w:pPr>
      <w:spacing w:line="440" w:lineRule="exact"/>
      <w:jc w:val="center"/>
    </w:pPr>
    <w:rPr>
      <w:sz w:val="28"/>
    </w:rPr>
  </w:style>
  <w:style w:type="paragraph" w:customStyle="1" w:styleId="107">
    <w:name w:val="标准文件_引言标题"/>
    <w:next w:val="1"/>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uiPriority w:val="0"/>
    <w:pPr>
      <w:numPr>
        <w:ilvl w:val="3"/>
        <w:numId w:val="20"/>
      </w:numPr>
      <w:adjustRightInd/>
      <w:spacing w:line="240" w:lineRule="auto"/>
    </w:pPr>
    <w:rPr>
      <w:rFonts w:ascii="宋体" w:hAnsi="宋体"/>
      <w:szCs w:val="24"/>
    </w:rPr>
  </w:style>
  <w:style w:type="paragraph" w:customStyle="1" w:styleId="119">
    <w:name w:val="发布部门"/>
    <w:next w:val="56"/>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uiPriority w:val="0"/>
    <w:pPr>
      <w:outlineLvl w:val="4"/>
    </w:pPr>
  </w:style>
  <w:style w:type="paragraph" w:customStyle="1" w:styleId="130">
    <w:name w:val="附录四级无标题条"/>
    <w:basedOn w:val="129"/>
    <w:next w:val="56"/>
    <w:uiPriority w:val="0"/>
    <w:pPr>
      <w:outlineLvl w:val="5"/>
    </w:pPr>
  </w:style>
  <w:style w:type="paragraph" w:customStyle="1" w:styleId="131">
    <w:name w:val="附录图"/>
    <w:next w:val="56"/>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uiPriority w:val="0"/>
    <w:pPr>
      <w:outlineLvl w:val="6"/>
    </w:pPr>
  </w:style>
  <w:style w:type="paragraph" w:customStyle="1" w:styleId="134">
    <w:name w:val="附录性质"/>
    <w:basedOn w:val="1"/>
    <w:uiPriority w:val="0"/>
    <w:pPr>
      <w:widowControl/>
      <w:adjustRightInd/>
      <w:jc w:val="center"/>
    </w:pPr>
    <w:rPr>
      <w:rFonts w:ascii="黑体" w:eastAsia="黑体"/>
    </w:rPr>
  </w:style>
  <w:style w:type="paragraph" w:customStyle="1" w:styleId="135">
    <w:name w:val="附录一级无标题条"/>
    <w:basedOn w:val="87"/>
    <w:next w:val="56"/>
    <w:uiPriority w:val="0"/>
    <w:pPr>
      <w:autoSpaceDN w:val="0"/>
      <w:outlineLvl w:val="2"/>
    </w:pPr>
    <w:rPr>
      <w:rFonts w:ascii="宋体" w:hAnsi="宋体" w:eastAsia="宋体"/>
    </w:rPr>
  </w:style>
  <w:style w:type="character" w:customStyle="1" w:styleId="136">
    <w:name w:val="个人答复风格"/>
    <w:uiPriority w:val="0"/>
    <w:rPr>
      <w:rFonts w:ascii="Arial" w:hAnsi="Arial" w:eastAsia="宋体" w:cs="Arial"/>
      <w:color w:val="auto"/>
      <w:spacing w:val="0"/>
      <w:sz w:val="20"/>
    </w:rPr>
  </w:style>
  <w:style w:type="character" w:customStyle="1" w:styleId="137">
    <w:name w:val="个人撰写风格"/>
    <w:uiPriority w:val="0"/>
    <w:rPr>
      <w:rFonts w:ascii="Arial" w:hAnsi="Arial" w:eastAsia="宋体" w:cs="Arial"/>
      <w:color w:val="auto"/>
      <w:spacing w:val="0"/>
      <w:sz w:val="20"/>
    </w:rPr>
  </w:style>
  <w:style w:type="paragraph" w:customStyle="1" w:styleId="138">
    <w:name w:val="脚注后续"/>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uiPriority w:val="0"/>
    <w:pPr>
      <w:tabs>
        <w:tab w:val="left" w:pos="840"/>
      </w:tabs>
    </w:pPr>
  </w:style>
  <w:style w:type="paragraph" w:customStyle="1" w:styleId="141">
    <w:name w:val="目次、索引正文"/>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uiPriority w:val="0"/>
    <w:pPr>
      <w:adjustRightInd/>
      <w:spacing w:line="240" w:lineRule="auto"/>
      <w:jc w:val="left"/>
    </w:pPr>
    <w:rPr>
      <w:bCs/>
      <w:iCs/>
    </w:rPr>
  </w:style>
  <w:style w:type="paragraph" w:customStyle="1" w:styleId="143">
    <w:name w:val="目录 31"/>
    <w:basedOn w:val="1"/>
    <w:next w:val="1"/>
    <w:autoRedefine/>
    <w:semiHidden/>
    <w:uiPriority w:val="0"/>
    <w:pPr>
      <w:spacing w:line="240" w:lineRule="auto"/>
    </w:pPr>
    <w:rPr>
      <w:rFonts w:ascii="宋体" w:hAnsi="宋体"/>
      <w:iCs/>
    </w:rPr>
  </w:style>
  <w:style w:type="paragraph" w:customStyle="1" w:styleId="144">
    <w:name w:val="目录 41"/>
    <w:basedOn w:val="1"/>
    <w:next w:val="1"/>
    <w:autoRedefine/>
    <w:semiHidden/>
    <w:uiPriority w:val="0"/>
    <w:pPr>
      <w:adjustRightInd/>
      <w:spacing w:line="240" w:lineRule="auto"/>
      <w:jc w:val="left"/>
    </w:pPr>
  </w:style>
  <w:style w:type="paragraph" w:customStyle="1" w:styleId="145">
    <w:name w:val="目录 51"/>
    <w:basedOn w:val="1"/>
    <w:next w:val="1"/>
    <w:autoRedefine/>
    <w:semiHidden/>
    <w:uiPriority w:val="0"/>
    <w:pPr>
      <w:spacing w:line="240" w:lineRule="auto"/>
    </w:pPr>
    <w:rPr>
      <w:rFonts w:ascii="宋体" w:hAnsi="宋体"/>
    </w:rPr>
  </w:style>
  <w:style w:type="paragraph" w:customStyle="1" w:styleId="146">
    <w:name w:val="目录 61"/>
    <w:basedOn w:val="1"/>
    <w:next w:val="1"/>
    <w:autoRedefine/>
    <w:semiHidden/>
    <w:uiPriority w:val="0"/>
    <w:pPr>
      <w:adjustRightInd/>
      <w:spacing w:line="240" w:lineRule="auto"/>
      <w:jc w:val="left"/>
    </w:pPr>
  </w:style>
  <w:style w:type="paragraph" w:customStyle="1" w:styleId="147">
    <w:name w:val="目录 71"/>
    <w:basedOn w:val="146"/>
    <w:autoRedefine/>
    <w:semiHidden/>
    <w:uiPriority w:val="0"/>
    <w:pPr>
      <w:ind w:left="1260"/>
    </w:pPr>
  </w:style>
  <w:style w:type="paragraph" w:customStyle="1" w:styleId="148">
    <w:name w:val="目录 81"/>
    <w:basedOn w:val="147"/>
    <w:autoRedefine/>
    <w:semiHidden/>
    <w:uiPriority w:val="0"/>
    <w:pPr>
      <w:ind w:left="1470"/>
    </w:pPr>
  </w:style>
  <w:style w:type="paragraph" w:customStyle="1" w:styleId="149">
    <w:name w:val="目录 91"/>
    <w:basedOn w:val="148"/>
    <w:autoRedefine/>
    <w:semiHidden/>
    <w:uiPriority w:val="0"/>
    <w:pPr>
      <w:ind w:left="1680"/>
    </w:pPr>
  </w:style>
  <w:style w:type="paragraph" w:customStyle="1" w:styleId="150">
    <w:name w:val="其他标准称谓"/>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uiPriority w:val="0"/>
    <w:pPr>
      <w:framePr w:wrap="around"/>
      <w:spacing w:line="0" w:lineRule="atLeast"/>
    </w:pPr>
    <w:rPr>
      <w:rFonts w:ascii="黑体" w:eastAsia="黑体"/>
      <w:b w:val="0"/>
    </w:rPr>
  </w:style>
  <w:style w:type="paragraph" w:customStyle="1" w:styleId="152">
    <w:name w:val="前言标题"/>
    <w:next w:val="1"/>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uiPriority w:val="0"/>
    <w:pPr>
      <w:numPr>
        <w:ilvl w:val="4"/>
        <w:numId w:val="20"/>
      </w:numPr>
      <w:adjustRightInd/>
      <w:spacing w:line="240" w:lineRule="auto"/>
    </w:pPr>
    <w:rPr>
      <w:rFonts w:ascii="宋体" w:hAnsi="宋体"/>
      <w:szCs w:val="24"/>
    </w:rPr>
  </w:style>
  <w:style w:type="paragraph" w:customStyle="1" w:styleId="154">
    <w:name w:val="实施日期"/>
    <w:basedOn w:val="120"/>
    <w:uiPriority w:val="0"/>
    <w:pPr>
      <w:framePr w:hSpace="0" w:wrap="around" w:xAlign="right"/>
      <w:jc w:val="right"/>
    </w:pPr>
  </w:style>
  <w:style w:type="paragraph" w:customStyle="1" w:styleId="155">
    <w:name w:val="四级无标题条"/>
    <w:basedOn w:val="1"/>
    <w:uiPriority w:val="0"/>
    <w:pPr>
      <w:numPr>
        <w:ilvl w:val="5"/>
        <w:numId w:val="20"/>
      </w:numPr>
      <w:adjustRightInd/>
      <w:spacing w:line="240" w:lineRule="auto"/>
    </w:pPr>
    <w:rPr>
      <w:rFonts w:ascii="宋体" w:hAnsi="宋体"/>
      <w:szCs w:val="24"/>
    </w:rPr>
  </w:style>
  <w:style w:type="paragraph" w:customStyle="1" w:styleId="156">
    <w:name w:val="文献分类号"/>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uiPriority w:val="0"/>
    <w:pPr>
      <w:jc w:val="both"/>
    </w:pPr>
    <w:rPr>
      <w:rFonts w:ascii="宋体" w:hAnsi="宋体" w:eastAsia="宋体" w:cs="Times New Roman"/>
      <w:sz w:val="21"/>
      <w:lang w:val="en-US" w:eastAsia="zh-CN" w:bidi="ar-SA"/>
    </w:rPr>
  </w:style>
  <w:style w:type="paragraph" w:customStyle="1" w:styleId="158">
    <w:name w:val="五级无标题条"/>
    <w:basedOn w:val="1"/>
    <w:uiPriority w:val="0"/>
    <w:pPr>
      <w:numPr>
        <w:ilvl w:val="6"/>
        <w:numId w:val="20"/>
      </w:numPr>
      <w:adjustRightInd/>
    </w:pPr>
    <w:rPr>
      <w:szCs w:val="24"/>
    </w:rPr>
  </w:style>
  <w:style w:type="paragraph" w:customStyle="1" w:styleId="159">
    <w:name w:val="一级无标题条"/>
    <w:basedOn w:val="1"/>
    <w:uiPriority w:val="0"/>
    <w:pPr>
      <w:numPr>
        <w:ilvl w:val="2"/>
        <w:numId w:val="20"/>
      </w:numPr>
      <w:adjustRightInd/>
      <w:spacing w:before="10" w:after="10" w:line="240" w:lineRule="auto"/>
    </w:pPr>
    <w:rPr>
      <w:rFonts w:ascii="宋体" w:hAnsi="宋体"/>
      <w:szCs w:val="24"/>
    </w:rPr>
  </w:style>
  <w:style w:type="paragraph" w:customStyle="1" w:styleId="160">
    <w:name w:val="注:后续"/>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uiPriority w:val="0"/>
    <w:pPr>
      <w:numPr>
        <w:ilvl w:val="0"/>
        <w:numId w:val="23"/>
      </w:numPr>
      <w:ind w:firstLine="0" w:firstLineChars="0"/>
    </w:pPr>
    <w:rPr>
      <w:rFonts w:cs="Arial"/>
      <w:szCs w:val="28"/>
    </w:rPr>
  </w:style>
  <w:style w:type="paragraph" w:customStyle="1" w:styleId="169">
    <w:name w:val="标准文件_小写罗马数字编号列项"/>
    <w:basedOn w:val="56"/>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uiPriority w:val="0"/>
    <w:rPr>
      <w:rFonts w:ascii="宋体" w:hAnsi="Times New Roman" w:eastAsia="宋体" w:cs="Times New Roman"/>
      <w:sz w:val="21"/>
      <w:lang w:val="en-US" w:eastAsia="zh-CN" w:bidi="ar-SA"/>
    </w:rPr>
  </w:style>
  <w:style w:type="paragraph" w:customStyle="1" w:styleId="172">
    <w:name w:val="标准文件_三级项"/>
    <w:basedOn w:val="1"/>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uiPriority w:val="0"/>
    <w:rPr>
      <w:rFonts w:ascii="Times New Roman"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style>
  <w:style w:type="paragraph" w:customStyle="1" w:styleId="189">
    <w:name w:val="标准文件_一级项2"/>
    <w:basedOn w:val="56"/>
    <w:qFormat/>
    <w:uiPriority w:val="0"/>
    <w:pPr>
      <w:numPr>
        <w:ilvl w:val="0"/>
        <w:numId w:val="31"/>
      </w:numPr>
      <w:spacing w:line="300" w:lineRule="exact"/>
      <w:ind w:firstLineChars="0"/>
    </w:p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uiPriority w:val="0"/>
    <w:pPr>
      <w:framePr w:w="3997" w:h="471" w:hRule="exact" w:hSpace="0" w:vSpace="181" w:wrap="around" w:vAnchor="page" w:hAnchor="page" w:x="1419" w:y="14097"/>
    </w:pPr>
  </w:style>
  <w:style w:type="paragraph" w:customStyle="1" w:styleId="194">
    <w:name w:val="其他实施日期"/>
    <w:basedOn w:val="154"/>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frame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uiPriority w:val="0"/>
    <w:rPr>
      <w:rFonts w:ascii="黑体" w:eastAsia="黑体"/>
      <w:spacing w:val="85"/>
      <w:w w:val="100"/>
      <w:position w:val="3"/>
      <w:sz w:val="28"/>
      <w:szCs w:val="28"/>
    </w:rPr>
  </w:style>
  <w:style w:type="table" w:customStyle="1" w:styleId="230">
    <w:name w:val="网格型1"/>
    <w:basedOn w:val="26"/>
    <w:uiPriority w:val="99"/>
    <w:rPr>
      <w:rFonts w:ascii="Times New Roman" w:hAnsi="Times New Roman" w:eastAsia="Times New Roman"/>
    </w:rPr>
    <w:tblP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
  </w:style>
  <w:style w:type="table" w:customStyle="1" w:styleId="231">
    <w:name w:val="网格型2"/>
    <w:basedOn w:val="26"/>
    <w:uiPriority w:val="99"/>
    <w:rPr>
      <w:rFonts w:ascii="Times New Roman" w:hAnsi="Times New Roman" w:eastAsia="Times New Roman"/>
    </w:rPr>
    <w:tblP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
  </w:style>
  <w:style w:type="paragraph" w:customStyle="1" w:styleId="232">
    <w:name w:val="列表段落1"/>
    <w:basedOn w:val="1"/>
    <w:uiPriority w:val="0"/>
    <w:pPr>
      <w:adjustRightInd/>
      <w:spacing w:before="100" w:beforeAutospacing="1" w:after="100" w:afterAutospacing="1" w:line="240" w:lineRule="auto"/>
      <w:ind w:left="720" w:firstLine="420" w:firstLineChars="200"/>
      <w:contextualSpacing/>
    </w:pPr>
    <w:rPr>
      <w:rFonts w:ascii="Times New Roman" w:hAnsi="Times New Roman"/>
    </w:rPr>
  </w:style>
  <w:style w:type="paragraph" w:styleId="23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glossaryDocument" Target="glossary/document.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jpe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83B0E8D519E49AA8735F4430361B10B"/>
        <w:style w:val=""/>
        <w:category>
          <w:name w:val="常规"/>
          <w:gallery w:val="placeholder"/>
        </w:category>
        <w:types>
          <w:type w:val="bbPlcHdr"/>
        </w:types>
        <w:behaviors>
          <w:behavior w:val="content"/>
        </w:behaviors>
        <w:description w:val=""/>
        <w:guid w:val="{C3455C15-EBAA-445E-B96D-C03453B073F8}"/>
      </w:docPartPr>
      <w:docPartBody>
        <w:p w14:paraId="6245B9BA">
          <w:pPr>
            <w:pStyle w:val="5"/>
            <w:rPr>
              <w:rFonts w:hint="eastAsia"/>
            </w:rPr>
          </w:pPr>
          <w:r>
            <w:rPr>
              <w:rStyle w:val="4"/>
              <w:rFonts w:hint="eastAsia"/>
            </w:rPr>
            <w:t>单击或点击此处输入文字。</w:t>
          </w:r>
        </w:p>
      </w:docPartBody>
    </w:docPart>
    <w:docPart>
      <w:docPartPr>
        <w:name w:val="A38BD344D6A9424A8C270686061076AF"/>
        <w:style w:val=""/>
        <w:category>
          <w:name w:val="常规"/>
          <w:gallery w:val="placeholder"/>
        </w:category>
        <w:types>
          <w:type w:val="bbPlcHdr"/>
        </w:types>
        <w:behaviors>
          <w:behavior w:val="content"/>
        </w:behaviors>
        <w:description w:val=""/>
        <w:guid w:val="{E9B40781-262A-48A7-A774-AF8B3DC81EB0}"/>
      </w:docPartPr>
      <w:docPartBody>
        <w:p w14:paraId="0219F5D9">
          <w:pPr>
            <w:pStyle w:val="6"/>
            <w:rPr>
              <w:rFonts w:hint="eastAsia"/>
            </w:rPr>
          </w:pPr>
          <w:r>
            <w:rPr>
              <w:rStyle w:val="4"/>
              <w:rFonts w:hint="eastAsia"/>
            </w:rPr>
            <w:t>选择一项。</w:t>
          </w:r>
        </w:p>
      </w:docPartBody>
    </w:docPart>
    <w:docPart>
      <w:docPartPr>
        <w:name w:val="B39B5DADB2034B0FB3D9FDD05E2A2302"/>
        <w:style w:val=""/>
        <w:category>
          <w:name w:val="常规"/>
          <w:gallery w:val="placeholder"/>
        </w:category>
        <w:types>
          <w:type w:val="bbPlcHdr"/>
        </w:types>
        <w:behaviors>
          <w:behavior w:val="content"/>
        </w:behaviors>
        <w:description w:val=""/>
        <w:guid w:val="{807BA440-DDC5-4226-B3EC-B073125C6D2B}"/>
      </w:docPartPr>
      <w:docPartBody>
        <w:p w14:paraId="44D65B2A">
          <w:pPr>
            <w:pStyle w:val="7"/>
            <w:rPr>
              <w:rFonts w:hint="eastAsia"/>
            </w:rPr>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0AC"/>
    <w:rsid w:val="0003095F"/>
    <w:rsid w:val="0003489D"/>
    <w:rsid w:val="000A42FB"/>
    <w:rsid w:val="000E5D5C"/>
    <w:rsid w:val="0036455A"/>
    <w:rsid w:val="004602B0"/>
    <w:rsid w:val="007C7EC9"/>
    <w:rsid w:val="007D769A"/>
    <w:rsid w:val="009457E7"/>
    <w:rsid w:val="00AB0766"/>
    <w:rsid w:val="00B84B7A"/>
    <w:rsid w:val="00E14E30"/>
    <w:rsid w:val="00E86046"/>
    <w:rsid w:val="00F530AC"/>
    <w:rsid w:val="00F850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083B0E8D519E49AA8735F4430361B10B"/>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A38BD344D6A9424A8C270686061076AF"/>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B39B5DADB2034B0FB3D9FDD05E2A2302"/>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E0F809-F1B0-47A2-BF3F-77BC97C7211C}">
  <ds:schemaRefs/>
</ds:datastoreItem>
</file>

<file path=docProps/app.xml><?xml version="1.0" encoding="utf-8"?>
<Properties xmlns="http://schemas.openxmlformats.org/officeDocument/2006/extended-properties" xmlns:vt="http://schemas.openxmlformats.org/officeDocument/2006/docPropsVTypes">
  <Template>团体标准</Template>
  <Pages>21</Pages>
  <Words>1175</Words>
  <Characters>1431</Characters>
  <Lines>122</Lines>
  <Paragraphs>34</Paragraphs>
  <TotalTime>156</TotalTime>
  <ScaleCrop>false</ScaleCrop>
  <LinksUpToDate>false</LinksUpToDate>
  <CharactersWithSpaces>1585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2026-06-01T02:08:00Z</dcterms:created>
  <dc:creator>user</dc:creator>
  <cp:lastModifiedBy>王松</cp:lastModifiedBy>
  <cp:lastPrinted>2021-02-02T08:22:00Z</cp:lastPrinted>
  <dcterms:modified xsi:type="dcterms:W3CDTF">2026-06-02T00:22:05Z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2052-12.1.0.26375</vt:lpwstr>
  </property>
  <property fmtid="{D5CDD505-2E9C-101B-9397-08002B2CF9AE}" pid="15" name="ICV">
    <vt:lpwstr>73CF727B5B4C47DE9232E8C559849E9A_13</vt:lpwstr>
  </property>
</Properties>
</file>